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0D" w:rsidRPr="008542AF" w:rsidRDefault="001A5D46" w:rsidP="00587B0D">
      <w:pPr>
        <w:jc w:val="center"/>
        <w:rPr>
          <w:rFonts w:asciiTheme="majorHAnsi" w:hAnsiTheme="majorHAnsi" w:cs="Cambria"/>
          <w:b/>
          <w:bCs/>
          <w:sz w:val="32"/>
          <w:szCs w:val="22"/>
        </w:rPr>
      </w:pPr>
      <w:r w:rsidRPr="008542AF">
        <w:rPr>
          <w:rFonts w:asciiTheme="majorHAnsi" w:hAnsiTheme="majorHAnsi" w:cs="Cambria"/>
          <w:b/>
          <w:bCs/>
          <w:sz w:val="32"/>
          <w:szCs w:val="22"/>
        </w:rPr>
        <w:t>Multiemployer Pension Plans: Composite Plan Designs</w:t>
      </w:r>
    </w:p>
    <w:p w:rsidR="00587B0D" w:rsidRPr="008542AF" w:rsidRDefault="00587B0D" w:rsidP="00587B0D">
      <w:pPr>
        <w:rPr>
          <w:rFonts w:asciiTheme="majorHAnsi" w:hAnsiTheme="majorHAnsi" w:cs="Cambria"/>
          <w:bCs/>
          <w:sz w:val="22"/>
          <w:szCs w:val="22"/>
        </w:rPr>
      </w:pPr>
      <w:r w:rsidRPr="008542AF">
        <w:rPr>
          <w:rFonts w:asciiTheme="majorHAnsi" w:hAnsiTheme="majorHAnsi" w:cs="Cambria"/>
          <w:bCs/>
          <w:sz w:val="22"/>
          <w:szCs w:val="22"/>
        </w:rPr>
        <w:t xml:space="preserve"> </w:t>
      </w:r>
    </w:p>
    <w:p w:rsidR="00A44E17" w:rsidRPr="008542AF" w:rsidRDefault="00587B0D" w:rsidP="00B91C95">
      <w:pPr>
        <w:rPr>
          <w:rFonts w:asciiTheme="majorHAnsi" w:hAnsiTheme="majorHAnsi" w:cs="Cambria"/>
          <w:b/>
          <w:bCs/>
          <w:color w:val="0070C0"/>
          <w:u w:val="single"/>
        </w:rPr>
      </w:pPr>
      <w:r w:rsidRPr="008542AF">
        <w:rPr>
          <w:rFonts w:asciiTheme="majorHAnsi" w:hAnsiTheme="majorHAnsi" w:cs="Cambria"/>
          <w:b/>
          <w:bCs/>
          <w:color w:val="0070C0"/>
          <w:szCs w:val="22"/>
          <w:u w:val="single"/>
        </w:rPr>
        <w:t>Q</w:t>
      </w:r>
      <w:r w:rsidR="007465D3" w:rsidRPr="008542AF">
        <w:rPr>
          <w:rFonts w:asciiTheme="majorHAnsi" w:hAnsiTheme="majorHAnsi" w:cs="Cambria"/>
          <w:b/>
          <w:bCs/>
          <w:color w:val="0070C0"/>
          <w:szCs w:val="22"/>
          <w:u w:val="single"/>
        </w:rPr>
        <w:t xml:space="preserve">uality </w:t>
      </w:r>
      <w:r w:rsidRPr="008542AF">
        <w:rPr>
          <w:rFonts w:asciiTheme="majorHAnsi" w:hAnsiTheme="majorHAnsi" w:cs="Cambria"/>
          <w:b/>
          <w:bCs/>
          <w:color w:val="0070C0"/>
          <w:szCs w:val="22"/>
          <w:u w:val="single"/>
        </w:rPr>
        <w:t>C</w:t>
      </w:r>
      <w:r w:rsidR="007465D3" w:rsidRPr="008542AF">
        <w:rPr>
          <w:rFonts w:asciiTheme="majorHAnsi" w:hAnsiTheme="majorHAnsi" w:cs="Cambria"/>
          <w:b/>
          <w:bCs/>
          <w:color w:val="0070C0"/>
          <w:szCs w:val="22"/>
          <w:u w:val="single"/>
        </w:rPr>
        <w:t xml:space="preserve">onstruction </w:t>
      </w:r>
      <w:r w:rsidRPr="008542AF">
        <w:rPr>
          <w:rFonts w:asciiTheme="majorHAnsi" w:hAnsiTheme="majorHAnsi" w:cs="Cambria"/>
          <w:b/>
          <w:bCs/>
          <w:color w:val="0070C0"/>
          <w:szCs w:val="22"/>
          <w:u w:val="single"/>
        </w:rPr>
        <w:t>A</w:t>
      </w:r>
      <w:r w:rsidR="007465D3" w:rsidRPr="008542AF">
        <w:rPr>
          <w:rFonts w:asciiTheme="majorHAnsi" w:hAnsiTheme="majorHAnsi" w:cs="Cambria"/>
          <w:b/>
          <w:bCs/>
          <w:color w:val="0070C0"/>
          <w:szCs w:val="22"/>
          <w:u w:val="single"/>
        </w:rPr>
        <w:t>lliance (QCA)</w:t>
      </w:r>
      <w:r w:rsidRPr="008542AF">
        <w:rPr>
          <w:rFonts w:asciiTheme="majorHAnsi" w:hAnsiTheme="majorHAnsi" w:cs="Cambria"/>
          <w:b/>
          <w:bCs/>
          <w:color w:val="0070C0"/>
          <w:szCs w:val="22"/>
          <w:u w:val="single"/>
        </w:rPr>
        <w:t xml:space="preserve"> Position:</w:t>
      </w:r>
      <w:r w:rsidR="00B519D0" w:rsidRPr="008542AF">
        <w:rPr>
          <w:rFonts w:asciiTheme="majorHAnsi" w:hAnsiTheme="majorHAnsi" w:cs="Cambria"/>
          <w:b/>
          <w:bCs/>
          <w:color w:val="0070C0"/>
          <w:szCs w:val="22"/>
          <w:u w:val="single"/>
        </w:rPr>
        <w:t xml:space="preserve"> </w:t>
      </w:r>
      <w:r w:rsidR="00B519D0" w:rsidRPr="008542AF">
        <w:rPr>
          <w:rFonts w:asciiTheme="majorHAnsi" w:hAnsiTheme="majorHAnsi"/>
          <w:b/>
          <w:color w:val="0070C0"/>
          <w:u w:val="single"/>
        </w:rPr>
        <w:t xml:space="preserve"> </w:t>
      </w:r>
    </w:p>
    <w:p w:rsidR="007465D3" w:rsidRPr="008542AF" w:rsidRDefault="007465D3" w:rsidP="00B91C95">
      <w:pPr>
        <w:rPr>
          <w:rFonts w:asciiTheme="majorHAnsi" w:hAnsiTheme="majorHAnsi"/>
          <w:b/>
          <w:i/>
        </w:rPr>
      </w:pPr>
    </w:p>
    <w:p w:rsidR="00A076DE" w:rsidRPr="008542AF" w:rsidRDefault="00A44E17" w:rsidP="00B91C95">
      <w:pPr>
        <w:rPr>
          <w:rFonts w:asciiTheme="majorHAnsi" w:hAnsiTheme="majorHAnsi"/>
          <w:b/>
          <w:i/>
        </w:rPr>
      </w:pPr>
      <w:r w:rsidRPr="008542AF">
        <w:rPr>
          <w:rFonts w:asciiTheme="majorHAnsi" w:hAnsiTheme="majorHAnsi"/>
          <w:b/>
          <w:i/>
          <w:sz w:val="22"/>
        </w:rPr>
        <w:t xml:space="preserve">Congress </w:t>
      </w:r>
      <w:r w:rsidR="00823389" w:rsidRPr="008542AF">
        <w:rPr>
          <w:rFonts w:asciiTheme="majorHAnsi" w:hAnsiTheme="majorHAnsi"/>
          <w:b/>
          <w:i/>
          <w:sz w:val="22"/>
        </w:rPr>
        <w:t>should</w:t>
      </w:r>
      <w:r w:rsidR="00523A13" w:rsidRPr="008542AF">
        <w:rPr>
          <w:rFonts w:asciiTheme="majorHAnsi" w:hAnsiTheme="majorHAnsi"/>
          <w:b/>
          <w:i/>
          <w:sz w:val="22"/>
        </w:rPr>
        <w:t xml:space="preserve"> act quickly to provide employers an</w:t>
      </w:r>
      <w:r w:rsidR="00E95328" w:rsidRPr="008542AF">
        <w:rPr>
          <w:rFonts w:asciiTheme="majorHAnsi" w:hAnsiTheme="majorHAnsi"/>
          <w:b/>
          <w:i/>
          <w:sz w:val="22"/>
        </w:rPr>
        <w:t>d employees participating</w:t>
      </w:r>
      <w:r w:rsidR="008B6515" w:rsidRPr="008542AF">
        <w:rPr>
          <w:rFonts w:asciiTheme="majorHAnsi" w:hAnsiTheme="majorHAnsi"/>
          <w:b/>
          <w:i/>
          <w:sz w:val="22"/>
        </w:rPr>
        <w:t xml:space="preserve"> </w:t>
      </w:r>
      <w:r w:rsidR="00E95328" w:rsidRPr="008542AF">
        <w:rPr>
          <w:rFonts w:asciiTheme="majorHAnsi" w:hAnsiTheme="majorHAnsi"/>
          <w:b/>
          <w:i/>
          <w:sz w:val="22"/>
        </w:rPr>
        <w:t xml:space="preserve">in </w:t>
      </w:r>
      <w:r w:rsidR="00823389" w:rsidRPr="008542AF">
        <w:rPr>
          <w:rFonts w:asciiTheme="majorHAnsi" w:hAnsiTheme="majorHAnsi"/>
          <w:b/>
          <w:i/>
          <w:sz w:val="22"/>
        </w:rPr>
        <w:t>collectively bargained</w:t>
      </w:r>
      <w:r w:rsidR="00B519D0" w:rsidRPr="008542AF">
        <w:rPr>
          <w:rFonts w:asciiTheme="majorHAnsi" w:hAnsiTheme="majorHAnsi"/>
          <w:b/>
          <w:i/>
          <w:sz w:val="22"/>
        </w:rPr>
        <w:t>,</w:t>
      </w:r>
      <w:r w:rsidR="00823389" w:rsidRPr="008542AF">
        <w:rPr>
          <w:rFonts w:asciiTheme="majorHAnsi" w:hAnsiTheme="majorHAnsi"/>
          <w:b/>
          <w:i/>
          <w:sz w:val="22"/>
        </w:rPr>
        <w:t xml:space="preserve"> </w:t>
      </w:r>
      <w:r w:rsidR="00B26723" w:rsidRPr="008542AF">
        <w:rPr>
          <w:rFonts w:asciiTheme="majorHAnsi" w:hAnsiTheme="majorHAnsi"/>
          <w:b/>
          <w:i/>
          <w:sz w:val="22"/>
        </w:rPr>
        <w:t>multiemployer benefit plan</w:t>
      </w:r>
      <w:r w:rsidR="00523A13" w:rsidRPr="008542AF">
        <w:rPr>
          <w:rFonts w:asciiTheme="majorHAnsi" w:hAnsiTheme="majorHAnsi"/>
          <w:b/>
          <w:i/>
          <w:sz w:val="22"/>
        </w:rPr>
        <w:t>s</w:t>
      </w:r>
      <w:r w:rsidR="00E95328" w:rsidRPr="008542AF">
        <w:rPr>
          <w:rFonts w:asciiTheme="majorHAnsi" w:hAnsiTheme="majorHAnsi"/>
          <w:b/>
          <w:i/>
          <w:sz w:val="22"/>
        </w:rPr>
        <w:t xml:space="preserve"> more ch</w:t>
      </w:r>
      <w:r w:rsidR="00B519D0" w:rsidRPr="008542AF">
        <w:rPr>
          <w:rFonts w:asciiTheme="majorHAnsi" w:hAnsiTheme="majorHAnsi"/>
          <w:b/>
          <w:i/>
          <w:sz w:val="22"/>
        </w:rPr>
        <w:t>oices in retirement plan models</w:t>
      </w:r>
      <w:r w:rsidRPr="008542AF">
        <w:rPr>
          <w:rFonts w:asciiTheme="majorHAnsi" w:hAnsiTheme="majorHAnsi"/>
          <w:b/>
          <w:i/>
          <w:sz w:val="22"/>
        </w:rPr>
        <w:t xml:space="preserve">.  </w:t>
      </w:r>
      <w:r w:rsidR="00B519D0" w:rsidRPr="008542AF">
        <w:rPr>
          <w:rFonts w:asciiTheme="majorHAnsi" w:hAnsiTheme="majorHAnsi"/>
          <w:b/>
          <w:i/>
          <w:sz w:val="22"/>
        </w:rPr>
        <w:t xml:space="preserve"> </w:t>
      </w:r>
      <w:r w:rsidRPr="008542AF">
        <w:rPr>
          <w:rFonts w:asciiTheme="majorHAnsi" w:hAnsiTheme="majorHAnsi"/>
          <w:b/>
          <w:i/>
          <w:sz w:val="22"/>
        </w:rPr>
        <w:t>QCA is supporting a composite model that is distinct from both</w:t>
      </w:r>
      <w:r w:rsidR="001A5D46" w:rsidRPr="008542AF">
        <w:rPr>
          <w:rFonts w:asciiTheme="majorHAnsi" w:hAnsiTheme="majorHAnsi"/>
          <w:b/>
          <w:i/>
          <w:sz w:val="22"/>
        </w:rPr>
        <w:t xml:space="preserve"> the </w:t>
      </w:r>
      <w:r w:rsidRPr="008542AF">
        <w:rPr>
          <w:rFonts w:asciiTheme="majorHAnsi" w:hAnsiTheme="majorHAnsi"/>
          <w:b/>
          <w:i/>
          <w:sz w:val="22"/>
        </w:rPr>
        <w:t xml:space="preserve">traditional defined benefit </w:t>
      </w:r>
      <w:r w:rsidR="001A5D46" w:rsidRPr="008542AF">
        <w:rPr>
          <w:rFonts w:asciiTheme="majorHAnsi" w:hAnsiTheme="majorHAnsi"/>
          <w:b/>
          <w:i/>
          <w:sz w:val="22"/>
        </w:rPr>
        <w:t xml:space="preserve">model </w:t>
      </w:r>
      <w:r w:rsidRPr="008542AF">
        <w:rPr>
          <w:rFonts w:asciiTheme="majorHAnsi" w:hAnsiTheme="majorHAnsi"/>
          <w:b/>
          <w:i/>
          <w:sz w:val="22"/>
        </w:rPr>
        <w:t xml:space="preserve">and </w:t>
      </w:r>
      <w:r w:rsidR="001A5D46" w:rsidRPr="008542AF">
        <w:rPr>
          <w:rFonts w:asciiTheme="majorHAnsi" w:hAnsiTheme="majorHAnsi"/>
          <w:b/>
          <w:i/>
          <w:sz w:val="22"/>
        </w:rPr>
        <w:t>the defined contribution model</w:t>
      </w:r>
      <w:r w:rsidRPr="008542AF">
        <w:rPr>
          <w:rFonts w:asciiTheme="majorHAnsi" w:hAnsiTheme="majorHAnsi"/>
          <w:b/>
          <w:i/>
          <w:sz w:val="22"/>
        </w:rPr>
        <w:t xml:space="preserve">. </w:t>
      </w:r>
      <w:r w:rsidR="00B519D0" w:rsidRPr="008542AF">
        <w:rPr>
          <w:rFonts w:asciiTheme="majorHAnsi" w:hAnsiTheme="majorHAnsi"/>
          <w:b/>
          <w:i/>
          <w:sz w:val="22"/>
        </w:rPr>
        <w:t xml:space="preserve">This would accomplish the final piece of the multiemployer pension reform proposal, “Solutions Not Bailouts”.  </w:t>
      </w:r>
      <w:r w:rsidR="00D27C09" w:rsidRPr="008542AF">
        <w:rPr>
          <w:rFonts w:asciiTheme="majorHAnsi" w:hAnsiTheme="majorHAnsi"/>
          <w:b/>
          <w:i/>
          <w:sz w:val="22"/>
        </w:rPr>
        <w:t>The composite model would</w:t>
      </w:r>
      <w:r w:rsidR="00D27C09" w:rsidRPr="008542AF">
        <w:rPr>
          <w:rFonts w:asciiTheme="majorHAnsi" w:hAnsiTheme="majorHAnsi"/>
          <w:b/>
          <w:i/>
        </w:rPr>
        <w:t xml:space="preserve"> </w:t>
      </w:r>
      <w:r w:rsidR="00D44058" w:rsidRPr="008542AF">
        <w:rPr>
          <w:rFonts w:asciiTheme="majorHAnsi" w:hAnsiTheme="majorHAnsi"/>
          <w:b/>
          <w:i/>
          <w:sz w:val="22"/>
        </w:rPr>
        <w:t>enable multiemployer pension plans</w:t>
      </w:r>
      <w:r w:rsidR="00D27C09" w:rsidRPr="008542AF">
        <w:rPr>
          <w:rFonts w:asciiTheme="majorHAnsi" w:hAnsiTheme="majorHAnsi"/>
          <w:b/>
          <w:i/>
          <w:sz w:val="22"/>
        </w:rPr>
        <w:t xml:space="preserve"> to </w:t>
      </w:r>
      <w:r w:rsidR="00D44058" w:rsidRPr="008542AF">
        <w:rPr>
          <w:rFonts w:asciiTheme="majorHAnsi" w:hAnsiTheme="majorHAnsi"/>
          <w:b/>
          <w:i/>
          <w:sz w:val="22"/>
        </w:rPr>
        <w:t xml:space="preserve">voluntarily </w:t>
      </w:r>
      <w:r w:rsidR="00D27C09" w:rsidRPr="008542AF">
        <w:rPr>
          <w:rFonts w:asciiTheme="majorHAnsi" w:hAnsiTheme="majorHAnsi"/>
          <w:b/>
          <w:i/>
          <w:sz w:val="22"/>
        </w:rPr>
        <w:t>adopt more flexible plan structures that would reduce risks for contributing employers but still provi</w:t>
      </w:r>
      <w:r w:rsidR="001A5D46" w:rsidRPr="008542AF">
        <w:rPr>
          <w:rFonts w:asciiTheme="majorHAnsi" w:hAnsiTheme="majorHAnsi"/>
          <w:b/>
          <w:i/>
          <w:sz w:val="22"/>
        </w:rPr>
        <w:t xml:space="preserve">de reliable, lifetime income </w:t>
      </w:r>
      <w:r w:rsidR="001A5D46" w:rsidRPr="008542AF">
        <w:rPr>
          <w:rFonts w:asciiTheme="majorHAnsi" w:hAnsiTheme="majorHAnsi"/>
          <w:b/>
          <w:i/>
          <w:sz w:val="22"/>
          <w:szCs w:val="22"/>
        </w:rPr>
        <w:t>for</w:t>
      </w:r>
      <w:r w:rsidR="00D27C09" w:rsidRPr="008542AF">
        <w:rPr>
          <w:rFonts w:asciiTheme="majorHAnsi" w:hAnsiTheme="majorHAnsi"/>
          <w:b/>
          <w:i/>
          <w:sz w:val="22"/>
        </w:rPr>
        <w:t xml:space="preserve"> secure retirement for workers.     </w:t>
      </w:r>
    </w:p>
    <w:p w:rsidR="00587B0D" w:rsidRPr="00D3348F" w:rsidRDefault="00A076DE" w:rsidP="00587B0D">
      <w:pPr>
        <w:rPr>
          <w:rFonts w:asciiTheme="majorHAnsi" w:hAnsiTheme="majorHAnsi" w:cs="Cambria"/>
          <w:b/>
          <w:bCs/>
          <w:i/>
          <w:sz w:val="16"/>
          <w:szCs w:val="22"/>
        </w:rPr>
      </w:pPr>
      <w:r w:rsidRPr="008542AF">
        <w:rPr>
          <w:rFonts w:asciiTheme="majorHAnsi" w:hAnsiTheme="majorHAnsi" w:cs="Cambria"/>
          <w:b/>
          <w:bCs/>
          <w:i/>
          <w:szCs w:val="22"/>
        </w:rPr>
        <w:t xml:space="preserve"> </w:t>
      </w:r>
    </w:p>
    <w:p w:rsidR="00587B0D" w:rsidRPr="008542AF" w:rsidRDefault="00587B0D" w:rsidP="00587B0D">
      <w:pPr>
        <w:rPr>
          <w:rFonts w:asciiTheme="majorHAnsi" w:hAnsiTheme="majorHAnsi" w:cs="Cambria"/>
          <w:b/>
          <w:bCs/>
          <w:color w:val="0070C0"/>
          <w:szCs w:val="22"/>
          <w:u w:val="single"/>
        </w:rPr>
      </w:pPr>
      <w:r w:rsidRPr="008542AF">
        <w:rPr>
          <w:rFonts w:asciiTheme="majorHAnsi" w:hAnsiTheme="majorHAnsi" w:cs="Cambria"/>
          <w:b/>
          <w:bCs/>
          <w:color w:val="0070C0"/>
          <w:szCs w:val="22"/>
          <w:u w:val="single"/>
        </w:rPr>
        <w:t>The Issue:</w:t>
      </w:r>
    </w:p>
    <w:p w:rsidR="007465D3" w:rsidRPr="00D3348F" w:rsidRDefault="007465D3" w:rsidP="00587B0D">
      <w:pPr>
        <w:rPr>
          <w:rFonts w:asciiTheme="majorHAnsi" w:hAnsiTheme="majorHAnsi" w:cs="Cambria"/>
          <w:b/>
          <w:bCs/>
          <w:color w:val="0070C0"/>
          <w:sz w:val="20"/>
          <w:szCs w:val="22"/>
          <w:u w:val="single"/>
        </w:rPr>
      </w:pPr>
    </w:p>
    <w:p w:rsidR="008542AF" w:rsidRPr="008542AF" w:rsidRDefault="008542AF" w:rsidP="008542AF">
      <w:pPr>
        <w:pStyle w:val="BodyTextIndent2"/>
        <w:numPr>
          <w:ilvl w:val="0"/>
          <w:numId w:val="9"/>
        </w:numPr>
        <w:spacing w:after="0" w:line="276" w:lineRule="auto"/>
        <w:rPr>
          <w:rFonts w:asciiTheme="majorHAnsi" w:hAnsiTheme="majorHAnsi"/>
          <w:sz w:val="22"/>
          <w:szCs w:val="22"/>
        </w:rPr>
      </w:pPr>
      <w:r w:rsidRPr="008542AF">
        <w:rPr>
          <w:rFonts w:asciiTheme="majorHAnsi" w:hAnsiTheme="majorHAnsi"/>
          <w:sz w:val="22"/>
          <w:szCs w:val="22"/>
        </w:rPr>
        <w:t xml:space="preserve">The Multiemployer Pension Reform Act of 2014 (MPRA) provided important new options for the 7 to 10% of multiemployer plans that are facing insolvency.   These reforms were necessary for “terminally ill” plans. MPRA also made needed technical corrections to the Pension Protection Act (PPA) and made the multiemployer provisions in PPA permanent.  PBGC premiums for multiemployer plans were doubled from $13 to $26 per participant.  MPRA also requires June 2016 PBGC to perform a “premium adequacy” report due to Congress to assess whether this increase is sufficient to fund the multiemployer guaranty fund over the next 10 and 20 year periods.   </w:t>
      </w:r>
      <w:r w:rsidRPr="008542AF">
        <w:rPr>
          <w:rFonts w:asciiTheme="majorHAnsi" w:hAnsiTheme="majorHAnsi"/>
          <w:sz w:val="22"/>
          <w:szCs w:val="22"/>
        </w:rPr>
        <w:br/>
      </w:r>
    </w:p>
    <w:p w:rsidR="002722BB" w:rsidRPr="008542AF" w:rsidRDefault="0090272D" w:rsidP="00587B0D">
      <w:pPr>
        <w:pStyle w:val="BodyTextIndent2"/>
        <w:numPr>
          <w:ilvl w:val="0"/>
          <w:numId w:val="9"/>
        </w:numPr>
        <w:spacing w:after="0" w:line="276" w:lineRule="auto"/>
        <w:rPr>
          <w:rFonts w:asciiTheme="majorHAnsi" w:hAnsiTheme="majorHAnsi"/>
          <w:sz w:val="22"/>
          <w:szCs w:val="22"/>
        </w:rPr>
      </w:pPr>
      <w:r w:rsidRPr="008542AF">
        <w:rPr>
          <w:rFonts w:asciiTheme="majorHAnsi" w:hAnsiTheme="majorHAnsi"/>
          <w:sz w:val="22"/>
          <w:szCs w:val="22"/>
        </w:rPr>
        <w:t>MPRA</w:t>
      </w:r>
      <w:r w:rsidR="00823389" w:rsidRPr="008542AF">
        <w:rPr>
          <w:rFonts w:asciiTheme="majorHAnsi" w:hAnsiTheme="majorHAnsi"/>
          <w:sz w:val="22"/>
          <w:szCs w:val="22"/>
        </w:rPr>
        <w:t>, however,</w:t>
      </w:r>
      <w:r w:rsidRPr="008542AF">
        <w:rPr>
          <w:rFonts w:asciiTheme="majorHAnsi" w:hAnsiTheme="majorHAnsi"/>
          <w:sz w:val="22"/>
          <w:szCs w:val="22"/>
        </w:rPr>
        <w:t xml:space="preserve"> did</w:t>
      </w:r>
      <w:r w:rsidR="004E4079" w:rsidRPr="008542AF">
        <w:rPr>
          <w:rFonts w:asciiTheme="majorHAnsi" w:hAnsiTheme="majorHAnsi"/>
          <w:sz w:val="22"/>
          <w:szCs w:val="22"/>
        </w:rPr>
        <w:t xml:space="preserve"> NOT</w:t>
      </w:r>
      <w:r w:rsidR="007E1587" w:rsidRPr="008542AF">
        <w:rPr>
          <w:rFonts w:asciiTheme="majorHAnsi" w:hAnsiTheme="majorHAnsi"/>
          <w:sz w:val="22"/>
          <w:szCs w:val="22"/>
        </w:rPr>
        <w:t xml:space="preserve"> address </w:t>
      </w:r>
      <w:r w:rsidR="008542AF" w:rsidRPr="008542AF">
        <w:rPr>
          <w:rFonts w:asciiTheme="majorHAnsi" w:hAnsiTheme="majorHAnsi"/>
          <w:sz w:val="22"/>
          <w:szCs w:val="22"/>
        </w:rPr>
        <w:t xml:space="preserve">a number of </w:t>
      </w:r>
      <w:r w:rsidR="00DA7ACC" w:rsidRPr="008542AF">
        <w:rPr>
          <w:rFonts w:asciiTheme="majorHAnsi" w:hAnsiTheme="majorHAnsi"/>
          <w:sz w:val="22"/>
          <w:szCs w:val="22"/>
        </w:rPr>
        <w:t>obstacles faced by</w:t>
      </w:r>
      <w:r w:rsidR="008F0B7A" w:rsidRPr="008542AF">
        <w:rPr>
          <w:rFonts w:asciiTheme="majorHAnsi" w:hAnsiTheme="majorHAnsi"/>
          <w:sz w:val="22"/>
          <w:szCs w:val="22"/>
        </w:rPr>
        <w:t xml:space="preserve"> many of the</w:t>
      </w:r>
      <w:r w:rsidR="0029598E" w:rsidRPr="008542AF">
        <w:rPr>
          <w:rFonts w:asciiTheme="majorHAnsi" w:hAnsiTheme="majorHAnsi"/>
          <w:sz w:val="22"/>
          <w:szCs w:val="22"/>
        </w:rPr>
        <w:t xml:space="preserve"> other 90% of</w:t>
      </w:r>
      <w:r w:rsidR="00DA7ACC" w:rsidRPr="008542AF">
        <w:rPr>
          <w:rFonts w:asciiTheme="majorHAnsi" w:hAnsiTheme="majorHAnsi"/>
          <w:sz w:val="22"/>
          <w:szCs w:val="22"/>
        </w:rPr>
        <w:t xml:space="preserve"> multiemployer plans nor</w:t>
      </w:r>
      <w:r w:rsidRPr="008542AF">
        <w:rPr>
          <w:rFonts w:asciiTheme="majorHAnsi" w:hAnsiTheme="majorHAnsi"/>
          <w:sz w:val="22"/>
          <w:szCs w:val="22"/>
        </w:rPr>
        <w:t xml:space="preserve"> did</w:t>
      </w:r>
      <w:r w:rsidR="0029598E" w:rsidRPr="008542AF">
        <w:rPr>
          <w:rFonts w:asciiTheme="majorHAnsi" w:hAnsiTheme="majorHAnsi"/>
          <w:sz w:val="22"/>
          <w:szCs w:val="22"/>
        </w:rPr>
        <w:t xml:space="preserve"> it address</w:t>
      </w:r>
      <w:r w:rsidR="00DA7ACC" w:rsidRPr="008542AF">
        <w:rPr>
          <w:rFonts w:asciiTheme="majorHAnsi" w:hAnsiTheme="majorHAnsi"/>
          <w:sz w:val="22"/>
          <w:szCs w:val="22"/>
        </w:rPr>
        <w:t xml:space="preserve"> the unquantifia</w:t>
      </w:r>
      <w:r w:rsidR="0029598E" w:rsidRPr="008542AF">
        <w:rPr>
          <w:rFonts w:asciiTheme="majorHAnsi" w:hAnsiTheme="majorHAnsi"/>
          <w:sz w:val="22"/>
          <w:szCs w:val="22"/>
        </w:rPr>
        <w:t>ble</w:t>
      </w:r>
      <w:r w:rsidR="00D41DEC" w:rsidRPr="008542AF">
        <w:rPr>
          <w:rFonts w:asciiTheme="majorHAnsi" w:hAnsiTheme="majorHAnsi"/>
          <w:sz w:val="22"/>
          <w:szCs w:val="22"/>
        </w:rPr>
        <w:t>, unacceptable</w:t>
      </w:r>
      <w:r w:rsidR="0029598E" w:rsidRPr="008542AF">
        <w:rPr>
          <w:rFonts w:asciiTheme="majorHAnsi" w:hAnsiTheme="majorHAnsi"/>
          <w:sz w:val="22"/>
          <w:szCs w:val="22"/>
        </w:rPr>
        <w:t xml:space="preserve"> risks faced by the </w:t>
      </w:r>
      <w:r w:rsidR="00DA7ACC" w:rsidRPr="008542AF">
        <w:rPr>
          <w:rFonts w:asciiTheme="majorHAnsi" w:hAnsiTheme="majorHAnsi"/>
          <w:sz w:val="22"/>
          <w:szCs w:val="22"/>
        </w:rPr>
        <w:t>employers</w:t>
      </w:r>
      <w:r w:rsidR="0029598E" w:rsidRPr="008542AF">
        <w:rPr>
          <w:rFonts w:asciiTheme="majorHAnsi" w:hAnsiTheme="majorHAnsi"/>
          <w:sz w:val="22"/>
          <w:szCs w:val="22"/>
        </w:rPr>
        <w:t xml:space="preserve"> contributing to those plans</w:t>
      </w:r>
      <w:r w:rsidR="00DA7ACC" w:rsidRPr="008542AF">
        <w:rPr>
          <w:rFonts w:asciiTheme="majorHAnsi" w:hAnsiTheme="majorHAnsi"/>
          <w:sz w:val="22"/>
          <w:szCs w:val="22"/>
        </w:rPr>
        <w:t>.</w:t>
      </w:r>
      <w:r w:rsidR="008542AF" w:rsidRPr="008542AF">
        <w:rPr>
          <w:rFonts w:asciiTheme="majorHAnsi" w:hAnsiTheme="majorHAnsi"/>
          <w:sz w:val="22"/>
          <w:szCs w:val="22"/>
        </w:rPr>
        <w:br/>
      </w:r>
    </w:p>
    <w:p w:rsidR="003433B4" w:rsidRPr="008542AF" w:rsidRDefault="00D3775B" w:rsidP="00A363FB">
      <w:pPr>
        <w:pStyle w:val="BodyTextIndent2"/>
        <w:numPr>
          <w:ilvl w:val="1"/>
          <w:numId w:val="14"/>
        </w:numPr>
        <w:spacing w:after="0" w:line="276" w:lineRule="auto"/>
        <w:rPr>
          <w:rFonts w:asciiTheme="majorHAnsi" w:hAnsiTheme="majorHAnsi"/>
          <w:sz w:val="22"/>
          <w:szCs w:val="22"/>
        </w:rPr>
      </w:pPr>
      <w:r w:rsidRPr="008542AF">
        <w:rPr>
          <w:rFonts w:asciiTheme="majorHAnsi" w:hAnsiTheme="majorHAnsi"/>
          <w:sz w:val="22"/>
          <w:szCs w:val="22"/>
        </w:rPr>
        <w:t>Many</w:t>
      </w:r>
      <w:r w:rsidR="00823389" w:rsidRPr="008542AF">
        <w:rPr>
          <w:rFonts w:asciiTheme="majorHAnsi" w:hAnsiTheme="majorHAnsi"/>
          <w:sz w:val="22"/>
          <w:szCs w:val="22"/>
        </w:rPr>
        <w:t xml:space="preserve"> c</w:t>
      </w:r>
      <w:r w:rsidR="003433B4" w:rsidRPr="008542AF">
        <w:rPr>
          <w:rFonts w:asciiTheme="majorHAnsi" w:hAnsiTheme="majorHAnsi"/>
          <w:sz w:val="22"/>
          <w:szCs w:val="22"/>
        </w:rPr>
        <w:t xml:space="preserve">onstruction industry plans </w:t>
      </w:r>
      <w:r w:rsidR="008F0B7A" w:rsidRPr="008542AF">
        <w:rPr>
          <w:rFonts w:asciiTheme="majorHAnsi" w:hAnsiTheme="majorHAnsi"/>
          <w:sz w:val="22"/>
          <w:szCs w:val="22"/>
        </w:rPr>
        <w:t xml:space="preserve">have an aging demographic - </w:t>
      </w:r>
      <w:r w:rsidR="00D547FB" w:rsidRPr="008542AF">
        <w:rPr>
          <w:rFonts w:asciiTheme="majorHAnsi" w:hAnsiTheme="majorHAnsi"/>
          <w:sz w:val="22"/>
          <w:szCs w:val="22"/>
        </w:rPr>
        <w:t>dominated by</w:t>
      </w:r>
      <w:r w:rsidR="008F0B7A" w:rsidRPr="008542AF">
        <w:rPr>
          <w:rFonts w:asciiTheme="majorHAnsi" w:hAnsiTheme="majorHAnsi"/>
          <w:sz w:val="22"/>
          <w:szCs w:val="22"/>
        </w:rPr>
        <w:t xml:space="preserve"> retired participants - and face</w:t>
      </w:r>
      <w:r w:rsidR="00FB6753" w:rsidRPr="008542AF">
        <w:rPr>
          <w:rFonts w:asciiTheme="majorHAnsi" w:hAnsiTheme="majorHAnsi"/>
          <w:sz w:val="22"/>
          <w:szCs w:val="22"/>
        </w:rPr>
        <w:t xml:space="preserve"> diminished employer contributions</w:t>
      </w:r>
      <w:r w:rsidR="008542AF">
        <w:rPr>
          <w:rFonts w:asciiTheme="majorHAnsi" w:hAnsiTheme="majorHAnsi"/>
          <w:sz w:val="22"/>
          <w:szCs w:val="22"/>
        </w:rPr>
        <w:t>.</w:t>
      </w:r>
      <w:r w:rsidR="008542AF" w:rsidRPr="008542AF">
        <w:rPr>
          <w:rFonts w:asciiTheme="majorHAnsi" w:hAnsiTheme="majorHAnsi"/>
          <w:sz w:val="22"/>
          <w:szCs w:val="22"/>
        </w:rPr>
        <w:br/>
      </w:r>
    </w:p>
    <w:p w:rsidR="00D3775B" w:rsidRPr="008542AF" w:rsidRDefault="003433B4" w:rsidP="00A363FB">
      <w:pPr>
        <w:pStyle w:val="BodyTextIndent2"/>
        <w:numPr>
          <w:ilvl w:val="1"/>
          <w:numId w:val="14"/>
        </w:numPr>
        <w:spacing w:after="0" w:line="276" w:lineRule="auto"/>
        <w:rPr>
          <w:rFonts w:asciiTheme="majorHAnsi" w:hAnsiTheme="majorHAnsi"/>
          <w:sz w:val="22"/>
          <w:szCs w:val="22"/>
        </w:rPr>
      </w:pPr>
      <w:r w:rsidRPr="008542AF">
        <w:rPr>
          <w:rFonts w:asciiTheme="majorHAnsi" w:hAnsiTheme="majorHAnsi"/>
          <w:sz w:val="22"/>
          <w:szCs w:val="22"/>
        </w:rPr>
        <w:t>Market volatility and default by other employers, both totally beyond the control of individual contributing employers, create unpredictable, unaccept</w:t>
      </w:r>
      <w:r w:rsidR="00A363FB" w:rsidRPr="008542AF">
        <w:rPr>
          <w:rFonts w:asciiTheme="majorHAnsi" w:hAnsiTheme="majorHAnsi"/>
          <w:sz w:val="22"/>
          <w:szCs w:val="22"/>
        </w:rPr>
        <w:t>able risk</w:t>
      </w:r>
      <w:r w:rsidR="008542AF">
        <w:rPr>
          <w:rFonts w:asciiTheme="majorHAnsi" w:hAnsiTheme="majorHAnsi"/>
          <w:sz w:val="22"/>
          <w:szCs w:val="22"/>
        </w:rPr>
        <w:t>.</w:t>
      </w:r>
      <w:r w:rsidR="008542AF" w:rsidRPr="008542AF">
        <w:rPr>
          <w:rFonts w:asciiTheme="majorHAnsi" w:hAnsiTheme="majorHAnsi"/>
          <w:sz w:val="22"/>
          <w:szCs w:val="22"/>
        </w:rPr>
        <w:br/>
      </w:r>
    </w:p>
    <w:p w:rsidR="002722BB" w:rsidRDefault="00A363FB" w:rsidP="00A363FB">
      <w:pPr>
        <w:pStyle w:val="BodyTextIndent2"/>
        <w:numPr>
          <w:ilvl w:val="1"/>
          <w:numId w:val="14"/>
        </w:numPr>
        <w:spacing w:after="0" w:line="276" w:lineRule="auto"/>
        <w:rPr>
          <w:rFonts w:asciiTheme="majorHAnsi" w:hAnsiTheme="majorHAnsi"/>
          <w:sz w:val="22"/>
          <w:szCs w:val="22"/>
        </w:rPr>
      </w:pPr>
      <w:r w:rsidRPr="008542AF">
        <w:rPr>
          <w:rFonts w:asciiTheme="majorHAnsi" w:hAnsiTheme="majorHAnsi"/>
          <w:sz w:val="22"/>
          <w:szCs w:val="22"/>
        </w:rPr>
        <w:t>Resulting</w:t>
      </w:r>
      <w:r w:rsidR="008542AF" w:rsidRPr="008542AF">
        <w:rPr>
          <w:rFonts w:asciiTheme="majorHAnsi" w:hAnsiTheme="majorHAnsi"/>
          <w:sz w:val="22"/>
          <w:szCs w:val="22"/>
        </w:rPr>
        <w:t xml:space="preserve"> unfunded liabilities</w:t>
      </w:r>
      <w:r w:rsidR="00D3775B" w:rsidRPr="008542AF">
        <w:rPr>
          <w:rFonts w:asciiTheme="majorHAnsi" w:hAnsiTheme="majorHAnsi"/>
          <w:sz w:val="22"/>
          <w:szCs w:val="22"/>
        </w:rPr>
        <w:t xml:space="preserve"> create withdrawal liability</w:t>
      </w:r>
      <w:r w:rsidRPr="008542AF">
        <w:rPr>
          <w:rFonts w:asciiTheme="majorHAnsi" w:hAnsiTheme="majorHAnsi"/>
          <w:sz w:val="22"/>
          <w:szCs w:val="22"/>
        </w:rPr>
        <w:t xml:space="preserve"> which leads to</w:t>
      </w:r>
      <w:r w:rsidR="00D3775B" w:rsidRPr="008542AF">
        <w:rPr>
          <w:rFonts w:asciiTheme="majorHAnsi" w:hAnsiTheme="majorHAnsi"/>
          <w:sz w:val="22"/>
          <w:szCs w:val="22"/>
        </w:rPr>
        <w:t xml:space="preserve"> lending and bonding issues</w:t>
      </w:r>
      <w:r w:rsidR="008542AF">
        <w:rPr>
          <w:rFonts w:asciiTheme="majorHAnsi" w:hAnsiTheme="majorHAnsi"/>
          <w:sz w:val="22"/>
          <w:szCs w:val="22"/>
        </w:rPr>
        <w:t xml:space="preserve"> for construction contractors.</w:t>
      </w:r>
      <w:r w:rsidR="00D3348F">
        <w:rPr>
          <w:rFonts w:asciiTheme="majorHAnsi" w:hAnsiTheme="majorHAnsi"/>
          <w:sz w:val="22"/>
          <w:szCs w:val="22"/>
        </w:rPr>
        <w:br/>
      </w:r>
    </w:p>
    <w:p w:rsidR="00D3348F" w:rsidRPr="008542AF" w:rsidRDefault="00D3348F" w:rsidP="00D3348F">
      <w:pPr>
        <w:pStyle w:val="BodyTextIndent2"/>
        <w:spacing w:after="0" w:line="276" w:lineRule="auto"/>
        <w:ind w:left="1440"/>
        <w:rPr>
          <w:rFonts w:asciiTheme="majorHAnsi" w:hAnsiTheme="majorHAnsi"/>
          <w:sz w:val="22"/>
          <w:szCs w:val="22"/>
        </w:rPr>
      </w:pPr>
    </w:p>
    <w:p w:rsidR="008F0B7A" w:rsidRPr="008542AF" w:rsidRDefault="007C6EC0" w:rsidP="00A363FB">
      <w:pPr>
        <w:pStyle w:val="BodyTextIndent2"/>
        <w:numPr>
          <w:ilvl w:val="1"/>
          <w:numId w:val="14"/>
        </w:numPr>
        <w:spacing w:after="0" w:line="276" w:lineRule="auto"/>
        <w:rPr>
          <w:rFonts w:asciiTheme="majorHAnsi" w:hAnsiTheme="majorHAnsi"/>
          <w:sz w:val="22"/>
          <w:szCs w:val="22"/>
        </w:rPr>
      </w:pPr>
      <w:r w:rsidRPr="008542AF">
        <w:rPr>
          <w:rFonts w:asciiTheme="majorHAnsi" w:hAnsiTheme="majorHAnsi"/>
          <w:sz w:val="22"/>
          <w:szCs w:val="22"/>
        </w:rPr>
        <w:lastRenderedPageBreak/>
        <w:t xml:space="preserve">The </w:t>
      </w:r>
      <w:r w:rsidR="008F0B7A" w:rsidRPr="008542AF">
        <w:rPr>
          <w:rFonts w:asciiTheme="majorHAnsi" w:hAnsiTheme="majorHAnsi"/>
          <w:sz w:val="22"/>
          <w:szCs w:val="22"/>
        </w:rPr>
        <w:t>unquantifiable</w:t>
      </w:r>
      <w:r w:rsidR="00A363FB" w:rsidRPr="008542AF">
        <w:rPr>
          <w:rFonts w:asciiTheme="majorHAnsi" w:hAnsiTheme="majorHAnsi"/>
          <w:sz w:val="22"/>
          <w:szCs w:val="22"/>
        </w:rPr>
        <w:t xml:space="preserve"> </w:t>
      </w:r>
      <w:r w:rsidRPr="008542AF">
        <w:rPr>
          <w:rFonts w:asciiTheme="majorHAnsi" w:hAnsiTheme="majorHAnsi"/>
          <w:sz w:val="22"/>
          <w:szCs w:val="22"/>
        </w:rPr>
        <w:t>risk</w:t>
      </w:r>
      <w:r w:rsidR="002722BB" w:rsidRPr="008542AF">
        <w:rPr>
          <w:rFonts w:asciiTheme="majorHAnsi" w:hAnsiTheme="majorHAnsi"/>
          <w:sz w:val="22"/>
          <w:szCs w:val="22"/>
        </w:rPr>
        <w:t xml:space="preserve"> serve</w:t>
      </w:r>
      <w:r w:rsidRPr="008542AF">
        <w:rPr>
          <w:rFonts w:asciiTheme="majorHAnsi" w:hAnsiTheme="majorHAnsi"/>
          <w:sz w:val="22"/>
          <w:szCs w:val="22"/>
        </w:rPr>
        <w:t>s</w:t>
      </w:r>
      <w:r w:rsidR="002722BB" w:rsidRPr="008542AF">
        <w:rPr>
          <w:rFonts w:asciiTheme="majorHAnsi" w:hAnsiTheme="majorHAnsi"/>
          <w:sz w:val="22"/>
          <w:szCs w:val="22"/>
        </w:rPr>
        <w:t xml:space="preserve"> as a barrier to new employers entering the system and creates an incentive for current employers to leave the system, further destabilizing the plans</w:t>
      </w:r>
      <w:r w:rsidR="008542AF">
        <w:rPr>
          <w:rFonts w:asciiTheme="majorHAnsi" w:hAnsiTheme="majorHAnsi"/>
          <w:sz w:val="22"/>
          <w:szCs w:val="22"/>
        </w:rPr>
        <w:t>.</w:t>
      </w:r>
      <w:r w:rsidR="00823389" w:rsidRPr="008542AF">
        <w:rPr>
          <w:rFonts w:asciiTheme="majorHAnsi" w:hAnsiTheme="majorHAnsi"/>
          <w:sz w:val="22"/>
          <w:szCs w:val="22"/>
        </w:rPr>
        <w:t xml:space="preserve">  </w:t>
      </w:r>
      <w:r w:rsidR="008542AF" w:rsidRPr="008542AF">
        <w:rPr>
          <w:rFonts w:asciiTheme="majorHAnsi" w:hAnsiTheme="majorHAnsi"/>
          <w:sz w:val="22"/>
          <w:szCs w:val="22"/>
        </w:rPr>
        <w:br/>
      </w:r>
    </w:p>
    <w:p w:rsidR="008F0B7A" w:rsidRPr="008542AF" w:rsidRDefault="008F0B7A" w:rsidP="008F0B7A">
      <w:pPr>
        <w:pStyle w:val="BodyTextIndent2"/>
        <w:numPr>
          <w:ilvl w:val="1"/>
          <w:numId w:val="14"/>
        </w:numPr>
        <w:spacing w:after="0" w:line="240" w:lineRule="auto"/>
        <w:rPr>
          <w:rFonts w:asciiTheme="majorHAnsi" w:hAnsiTheme="majorHAnsi"/>
          <w:sz w:val="22"/>
          <w:szCs w:val="22"/>
        </w:rPr>
      </w:pPr>
      <w:r w:rsidRPr="008542AF">
        <w:rPr>
          <w:rFonts w:asciiTheme="majorHAnsi" w:hAnsiTheme="majorHAnsi"/>
          <w:sz w:val="22"/>
          <w:szCs w:val="22"/>
        </w:rPr>
        <w:t>The PBGC Multiemployer program continu</w:t>
      </w:r>
      <w:r w:rsidR="008542AF">
        <w:rPr>
          <w:rFonts w:asciiTheme="majorHAnsi" w:hAnsiTheme="majorHAnsi"/>
          <w:sz w:val="22"/>
          <w:szCs w:val="22"/>
        </w:rPr>
        <w:t>es to face financial challenges.</w:t>
      </w:r>
      <w:r w:rsidRPr="008542AF">
        <w:rPr>
          <w:rFonts w:asciiTheme="majorHAnsi" w:hAnsiTheme="majorHAnsi"/>
          <w:sz w:val="22"/>
          <w:szCs w:val="22"/>
        </w:rPr>
        <w:t xml:space="preserve"> </w:t>
      </w:r>
      <w:r w:rsidR="008542AF" w:rsidRPr="008542AF">
        <w:rPr>
          <w:rFonts w:asciiTheme="majorHAnsi" w:hAnsiTheme="majorHAnsi"/>
          <w:sz w:val="22"/>
          <w:szCs w:val="22"/>
        </w:rPr>
        <w:br/>
      </w:r>
    </w:p>
    <w:p w:rsidR="008542AF" w:rsidRPr="008542AF" w:rsidRDefault="00B91C95" w:rsidP="007E1587">
      <w:pPr>
        <w:pStyle w:val="BodyTextIndent2"/>
        <w:numPr>
          <w:ilvl w:val="1"/>
          <w:numId w:val="14"/>
        </w:numPr>
        <w:spacing w:after="0" w:line="240" w:lineRule="auto"/>
        <w:rPr>
          <w:rFonts w:asciiTheme="majorHAnsi" w:hAnsiTheme="majorHAnsi"/>
          <w:sz w:val="22"/>
          <w:szCs w:val="22"/>
        </w:rPr>
      </w:pPr>
      <w:r w:rsidRPr="008542AF">
        <w:rPr>
          <w:rFonts w:asciiTheme="majorHAnsi" w:hAnsiTheme="majorHAnsi"/>
          <w:sz w:val="22"/>
          <w:szCs w:val="22"/>
        </w:rPr>
        <w:t xml:space="preserve">New plan design was included in the original </w:t>
      </w:r>
      <w:r w:rsidRPr="008542AF">
        <w:rPr>
          <w:rFonts w:asciiTheme="majorHAnsi" w:hAnsiTheme="majorHAnsi"/>
          <w:i/>
          <w:sz w:val="22"/>
          <w:szCs w:val="22"/>
        </w:rPr>
        <w:t>Solutions Not Bailouts</w:t>
      </w:r>
      <w:r w:rsidRPr="008542AF">
        <w:rPr>
          <w:rFonts w:asciiTheme="majorHAnsi" w:hAnsiTheme="majorHAnsi"/>
          <w:sz w:val="22"/>
          <w:szCs w:val="22"/>
        </w:rPr>
        <w:t xml:space="preserve"> proposal but faced jurisdictional concerns too close to final consideration of MPRA to be resolved</w:t>
      </w:r>
      <w:r w:rsidR="008542AF">
        <w:rPr>
          <w:rFonts w:asciiTheme="majorHAnsi" w:hAnsiTheme="majorHAnsi"/>
          <w:sz w:val="22"/>
          <w:szCs w:val="22"/>
        </w:rPr>
        <w:t>.</w:t>
      </w:r>
      <w:r w:rsidR="008542AF" w:rsidRPr="008542AF">
        <w:rPr>
          <w:rFonts w:asciiTheme="majorHAnsi" w:hAnsiTheme="majorHAnsi"/>
          <w:sz w:val="22"/>
          <w:szCs w:val="22"/>
        </w:rPr>
        <w:br/>
      </w:r>
    </w:p>
    <w:p w:rsidR="007E1587" w:rsidRPr="008542AF" w:rsidRDefault="008542AF" w:rsidP="007E1587">
      <w:pPr>
        <w:pStyle w:val="BodyTextIndent2"/>
        <w:numPr>
          <w:ilvl w:val="1"/>
          <w:numId w:val="14"/>
        </w:numPr>
        <w:spacing w:after="0" w:line="240" w:lineRule="auto"/>
        <w:rPr>
          <w:rFonts w:asciiTheme="majorHAnsi" w:hAnsiTheme="majorHAnsi"/>
          <w:sz w:val="22"/>
          <w:szCs w:val="22"/>
        </w:rPr>
      </w:pPr>
      <w:r w:rsidRPr="008542AF">
        <w:rPr>
          <w:rFonts w:asciiTheme="majorHAnsi" w:hAnsiTheme="majorHAnsi"/>
          <w:sz w:val="22"/>
          <w:szCs w:val="22"/>
        </w:rPr>
        <w:t>P</w:t>
      </w:r>
      <w:r w:rsidR="007E1587" w:rsidRPr="008542AF">
        <w:rPr>
          <w:rFonts w:asciiTheme="majorHAnsi" w:hAnsiTheme="majorHAnsi"/>
          <w:sz w:val="22"/>
          <w:szCs w:val="22"/>
        </w:rPr>
        <w:t>lans need options now to m</w:t>
      </w:r>
      <w:r>
        <w:rPr>
          <w:rFonts w:asciiTheme="majorHAnsi" w:hAnsiTheme="majorHAnsi"/>
          <w:sz w:val="22"/>
          <w:szCs w:val="22"/>
        </w:rPr>
        <w:t>eet today’s economic challenges.</w:t>
      </w:r>
      <w:r w:rsidR="007E1587" w:rsidRPr="008542AF">
        <w:rPr>
          <w:rFonts w:asciiTheme="majorHAnsi" w:hAnsiTheme="majorHAnsi"/>
          <w:sz w:val="22"/>
          <w:szCs w:val="22"/>
        </w:rPr>
        <w:t xml:space="preserve"> </w:t>
      </w:r>
    </w:p>
    <w:p w:rsidR="00423BF4" w:rsidRPr="008542AF" w:rsidRDefault="00423BF4" w:rsidP="00423BF4">
      <w:pPr>
        <w:pStyle w:val="BodyTextIndent2"/>
        <w:spacing w:after="0" w:line="240" w:lineRule="auto"/>
        <w:ind w:left="720"/>
        <w:rPr>
          <w:rFonts w:asciiTheme="majorHAnsi" w:hAnsiTheme="majorHAnsi"/>
          <w:sz w:val="16"/>
          <w:szCs w:val="22"/>
        </w:rPr>
      </w:pPr>
    </w:p>
    <w:p w:rsidR="00587B0D" w:rsidRPr="008542AF" w:rsidRDefault="00587B0D" w:rsidP="00587B0D">
      <w:pPr>
        <w:rPr>
          <w:rFonts w:asciiTheme="majorHAnsi" w:hAnsiTheme="majorHAnsi"/>
          <w:b/>
          <w:color w:val="0070C0"/>
          <w:szCs w:val="22"/>
          <w:u w:val="single"/>
        </w:rPr>
      </w:pPr>
      <w:r w:rsidRPr="008542AF">
        <w:rPr>
          <w:rFonts w:asciiTheme="majorHAnsi" w:hAnsiTheme="majorHAnsi"/>
          <w:b/>
          <w:color w:val="0070C0"/>
          <w:szCs w:val="22"/>
          <w:u w:val="single"/>
        </w:rPr>
        <w:t xml:space="preserve">The Solution:   </w:t>
      </w:r>
    </w:p>
    <w:p w:rsidR="00587B0D" w:rsidRPr="008542AF" w:rsidRDefault="00587B0D" w:rsidP="00587B0D">
      <w:pPr>
        <w:spacing w:line="276" w:lineRule="auto"/>
        <w:rPr>
          <w:rFonts w:asciiTheme="majorHAnsi" w:hAnsiTheme="majorHAnsi"/>
          <w:b/>
          <w:color w:val="3333FF"/>
          <w:sz w:val="10"/>
          <w:szCs w:val="22"/>
        </w:rPr>
      </w:pPr>
    </w:p>
    <w:p w:rsidR="00E323BF" w:rsidRPr="008542AF" w:rsidRDefault="00587B0D" w:rsidP="004E4079">
      <w:pPr>
        <w:pStyle w:val="BodyTextIndent2"/>
        <w:spacing w:after="0" w:line="240" w:lineRule="auto"/>
        <w:ind w:left="0"/>
        <w:rPr>
          <w:rFonts w:asciiTheme="majorHAnsi" w:hAnsiTheme="majorHAnsi"/>
          <w:sz w:val="22"/>
          <w:szCs w:val="22"/>
        </w:rPr>
      </w:pPr>
      <w:r w:rsidRPr="008542AF">
        <w:rPr>
          <w:rFonts w:asciiTheme="majorHAnsi" w:hAnsiTheme="majorHAnsi"/>
          <w:b/>
          <w:sz w:val="22"/>
          <w:szCs w:val="22"/>
        </w:rPr>
        <w:t>QCA reco</w:t>
      </w:r>
      <w:r w:rsidR="004E4079" w:rsidRPr="008542AF">
        <w:rPr>
          <w:rFonts w:asciiTheme="majorHAnsi" w:hAnsiTheme="majorHAnsi"/>
          <w:b/>
          <w:sz w:val="22"/>
          <w:szCs w:val="22"/>
        </w:rPr>
        <w:t>mmends that Congress advance new and innovative plan designs</w:t>
      </w:r>
      <w:r w:rsidR="004E4079" w:rsidRPr="008542AF">
        <w:rPr>
          <w:rFonts w:asciiTheme="majorHAnsi" w:hAnsiTheme="majorHAnsi"/>
          <w:sz w:val="22"/>
          <w:szCs w:val="22"/>
        </w:rPr>
        <w:t xml:space="preserve"> that would</w:t>
      </w:r>
      <w:r w:rsidR="008F0B7A" w:rsidRPr="008542AF">
        <w:rPr>
          <w:rFonts w:asciiTheme="majorHAnsi" w:hAnsiTheme="majorHAnsi"/>
          <w:sz w:val="22"/>
          <w:szCs w:val="22"/>
        </w:rPr>
        <w:t xml:space="preserve"> allow implementation</w:t>
      </w:r>
      <w:r w:rsidR="00FB6753" w:rsidRPr="008542AF">
        <w:rPr>
          <w:rFonts w:asciiTheme="majorHAnsi" w:hAnsiTheme="majorHAnsi"/>
          <w:sz w:val="22"/>
          <w:szCs w:val="22"/>
        </w:rPr>
        <w:t xml:space="preserve"> of</w:t>
      </w:r>
      <w:r w:rsidR="004E4079" w:rsidRPr="008542AF">
        <w:rPr>
          <w:rFonts w:asciiTheme="majorHAnsi" w:hAnsiTheme="majorHAnsi"/>
          <w:sz w:val="22"/>
          <w:szCs w:val="22"/>
        </w:rPr>
        <w:t xml:space="preserve"> more flexible plan structu</w:t>
      </w:r>
      <w:r w:rsidR="00E323BF" w:rsidRPr="008542AF">
        <w:rPr>
          <w:rFonts w:asciiTheme="majorHAnsi" w:hAnsiTheme="majorHAnsi"/>
          <w:sz w:val="22"/>
          <w:szCs w:val="22"/>
        </w:rPr>
        <w:t xml:space="preserve">res </w:t>
      </w:r>
      <w:r w:rsidR="004E4079" w:rsidRPr="008542AF">
        <w:rPr>
          <w:rFonts w:asciiTheme="majorHAnsi" w:hAnsiTheme="majorHAnsi"/>
          <w:sz w:val="22"/>
          <w:szCs w:val="22"/>
        </w:rPr>
        <w:t>that would reduce risks for contributing employers but still provi</w:t>
      </w:r>
      <w:r w:rsidR="007E1587" w:rsidRPr="008542AF">
        <w:rPr>
          <w:rFonts w:asciiTheme="majorHAnsi" w:hAnsiTheme="majorHAnsi"/>
          <w:sz w:val="22"/>
          <w:szCs w:val="22"/>
        </w:rPr>
        <w:t>de reliable, lifetime income to ensure</w:t>
      </w:r>
      <w:r w:rsidR="004E4079" w:rsidRPr="008542AF">
        <w:rPr>
          <w:rFonts w:asciiTheme="majorHAnsi" w:hAnsiTheme="majorHAnsi"/>
          <w:sz w:val="22"/>
          <w:szCs w:val="22"/>
        </w:rPr>
        <w:t xml:space="preserve"> a secure retirement for workers.  </w:t>
      </w:r>
      <w:r w:rsidR="00E323BF" w:rsidRPr="008542AF">
        <w:rPr>
          <w:rFonts w:asciiTheme="majorHAnsi" w:hAnsiTheme="majorHAnsi"/>
          <w:sz w:val="22"/>
          <w:szCs w:val="22"/>
        </w:rPr>
        <w:t xml:space="preserve"> </w:t>
      </w:r>
      <w:r w:rsidRPr="008542AF">
        <w:rPr>
          <w:rFonts w:asciiTheme="majorHAnsi" w:hAnsiTheme="majorHAnsi"/>
          <w:sz w:val="22"/>
          <w:szCs w:val="22"/>
        </w:rPr>
        <w:t xml:space="preserve">   </w:t>
      </w:r>
    </w:p>
    <w:p w:rsidR="00BA0992" w:rsidRPr="008542AF" w:rsidRDefault="00BA0992" w:rsidP="004E4079">
      <w:pPr>
        <w:pStyle w:val="BodyTextIndent2"/>
        <w:spacing w:after="0" w:line="240" w:lineRule="auto"/>
        <w:ind w:left="0"/>
        <w:rPr>
          <w:rFonts w:asciiTheme="majorHAnsi" w:hAnsiTheme="majorHAnsi"/>
          <w:b/>
          <w:sz w:val="22"/>
          <w:szCs w:val="22"/>
        </w:rPr>
      </w:pPr>
    </w:p>
    <w:p w:rsidR="00B91C95" w:rsidRPr="008542AF" w:rsidRDefault="00BA0992" w:rsidP="004E4079">
      <w:pPr>
        <w:pStyle w:val="BodyTextIndent2"/>
        <w:spacing w:after="0" w:line="240" w:lineRule="auto"/>
        <w:ind w:left="0"/>
        <w:rPr>
          <w:rFonts w:asciiTheme="majorHAnsi" w:hAnsiTheme="majorHAnsi"/>
          <w:b/>
          <w:sz w:val="22"/>
          <w:szCs w:val="22"/>
        </w:rPr>
      </w:pPr>
      <w:r w:rsidRPr="008542AF">
        <w:rPr>
          <w:rFonts w:asciiTheme="majorHAnsi" w:hAnsiTheme="majorHAnsi"/>
          <w:b/>
          <w:sz w:val="22"/>
          <w:szCs w:val="22"/>
        </w:rPr>
        <w:t xml:space="preserve">Composite Plan </w:t>
      </w:r>
      <w:r w:rsidR="00D547FB" w:rsidRPr="008542AF">
        <w:rPr>
          <w:rFonts w:asciiTheme="majorHAnsi" w:hAnsiTheme="majorHAnsi"/>
          <w:b/>
          <w:sz w:val="22"/>
          <w:szCs w:val="22"/>
        </w:rPr>
        <w:t>Design</w:t>
      </w:r>
      <w:r w:rsidRPr="008542AF">
        <w:rPr>
          <w:rFonts w:asciiTheme="majorHAnsi" w:hAnsiTheme="majorHAnsi"/>
          <w:b/>
          <w:sz w:val="22"/>
          <w:szCs w:val="22"/>
        </w:rPr>
        <w:t xml:space="preserve"> Features: </w:t>
      </w:r>
    </w:p>
    <w:p w:rsidR="00D547FB" w:rsidRPr="008542AF" w:rsidRDefault="00D547FB" w:rsidP="004E4079">
      <w:pPr>
        <w:pStyle w:val="BodyTextIndent2"/>
        <w:spacing w:after="0" w:line="240" w:lineRule="auto"/>
        <w:ind w:left="0"/>
        <w:rPr>
          <w:rFonts w:asciiTheme="majorHAnsi" w:hAnsiTheme="majorHAnsi"/>
          <w:b/>
          <w:sz w:val="22"/>
          <w:szCs w:val="22"/>
        </w:rPr>
      </w:pPr>
    </w:p>
    <w:p w:rsidR="007465D3" w:rsidRPr="008542AF" w:rsidRDefault="00BA0992" w:rsidP="0002153A">
      <w:pPr>
        <w:pStyle w:val="ListParagraph"/>
        <w:numPr>
          <w:ilvl w:val="0"/>
          <w:numId w:val="16"/>
        </w:numPr>
        <w:spacing w:after="0" w:line="240" w:lineRule="auto"/>
        <w:rPr>
          <w:rFonts w:asciiTheme="majorHAnsi" w:hAnsiTheme="majorHAnsi"/>
        </w:rPr>
      </w:pPr>
      <w:r w:rsidRPr="008542AF">
        <w:rPr>
          <w:rFonts w:asciiTheme="majorHAnsi" w:hAnsiTheme="majorHAnsi"/>
        </w:rPr>
        <w:t>Would combine features of tradition</w:t>
      </w:r>
      <w:r w:rsidR="001A5D46" w:rsidRPr="008542AF">
        <w:rPr>
          <w:rFonts w:asciiTheme="majorHAnsi" w:hAnsiTheme="majorHAnsi"/>
        </w:rPr>
        <w:t>al</w:t>
      </w:r>
      <w:r w:rsidRPr="008542AF">
        <w:rPr>
          <w:rFonts w:asciiTheme="majorHAnsi" w:hAnsiTheme="majorHAnsi"/>
        </w:rPr>
        <w:t xml:space="preserve"> Defined Benefit plans and Defined Contribution Plans</w:t>
      </w:r>
      <w:r w:rsidR="00F776E7" w:rsidRPr="008542AF">
        <w:rPr>
          <w:rFonts w:asciiTheme="majorHAnsi" w:hAnsiTheme="majorHAnsi"/>
        </w:rPr>
        <w:t xml:space="preserve"> </w:t>
      </w:r>
      <w:r w:rsidR="00F015DD" w:rsidRPr="008542AF">
        <w:rPr>
          <w:rFonts w:asciiTheme="majorHAnsi" w:hAnsiTheme="majorHAnsi"/>
        </w:rPr>
        <w:t xml:space="preserve">providing </w:t>
      </w:r>
      <w:r w:rsidR="00F776E7" w:rsidRPr="008542AF">
        <w:rPr>
          <w:rFonts w:asciiTheme="majorHAnsi" w:hAnsiTheme="majorHAnsi"/>
        </w:rPr>
        <w:t>retirement security and the economic efficiency of defined benefit plans needed for workers</w:t>
      </w:r>
      <w:r w:rsidR="007E1587" w:rsidRPr="008542AF">
        <w:rPr>
          <w:rFonts w:asciiTheme="majorHAnsi" w:hAnsiTheme="majorHAnsi"/>
        </w:rPr>
        <w:t>,</w:t>
      </w:r>
      <w:r w:rsidR="00F776E7" w:rsidRPr="008542AF">
        <w:rPr>
          <w:rFonts w:asciiTheme="majorHAnsi" w:hAnsiTheme="majorHAnsi"/>
        </w:rPr>
        <w:t xml:space="preserve"> with more predict</w:t>
      </w:r>
      <w:r w:rsidR="00B203C6" w:rsidRPr="008542AF">
        <w:rPr>
          <w:rFonts w:asciiTheme="majorHAnsi" w:hAnsiTheme="majorHAnsi"/>
        </w:rPr>
        <w:t>able costs vital for employers</w:t>
      </w:r>
      <w:r w:rsidR="008542AF">
        <w:rPr>
          <w:rFonts w:asciiTheme="majorHAnsi" w:hAnsiTheme="majorHAnsi"/>
        </w:rPr>
        <w:t>.</w:t>
      </w:r>
      <w:r w:rsidR="00F776E7" w:rsidRPr="008542AF">
        <w:rPr>
          <w:rFonts w:asciiTheme="majorHAnsi" w:hAnsiTheme="majorHAnsi"/>
        </w:rPr>
        <w:t xml:space="preserve">  </w:t>
      </w:r>
      <w:r w:rsidR="007465D3" w:rsidRPr="008542AF">
        <w:rPr>
          <w:rFonts w:asciiTheme="majorHAnsi" w:hAnsiTheme="majorHAnsi" w:cs="Cambria"/>
          <w:bCs/>
        </w:rPr>
        <w:br/>
      </w:r>
    </w:p>
    <w:p w:rsidR="00B91C95" w:rsidRPr="008542AF" w:rsidRDefault="00B91C95" w:rsidP="0002153A">
      <w:pPr>
        <w:pStyle w:val="ListParagraph"/>
        <w:numPr>
          <w:ilvl w:val="0"/>
          <w:numId w:val="16"/>
        </w:numPr>
        <w:spacing w:after="0" w:line="240" w:lineRule="auto"/>
        <w:rPr>
          <w:rFonts w:asciiTheme="majorHAnsi" w:hAnsiTheme="majorHAnsi"/>
        </w:rPr>
      </w:pPr>
      <w:r w:rsidRPr="008542AF">
        <w:rPr>
          <w:rFonts w:asciiTheme="majorHAnsi" w:hAnsiTheme="majorHAnsi"/>
        </w:rPr>
        <w:t xml:space="preserve">Moving from a traditional </w:t>
      </w:r>
      <w:r w:rsidR="001A5D46" w:rsidRPr="008542AF">
        <w:rPr>
          <w:rFonts w:asciiTheme="majorHAnsi" w:hAnsiTheme="majorHAnsi"/>
        </w:rPr>
        <w:t>defined benefit plan to a composite</w:t>
      </w:r>
      <w:r w:rsidRPr="008542AF">
        <w:rPr>
          <w:rFonts w:asciiTheme="majorHAnsi" w:hAnsiTheme="majorHAnsi"/>
        </w:rPr>
        <w:t xml:space="preserve"> p</w:t>
      </w:r>
      <w:r w:rsidR="001A5D46" w:rsidRPr="008542AF">
        <w:rPr>
          <w:rFonts w:asciiTheme="majorHAnsi" w:hAnsiTheme="majorHAnsi"/>
        </w:rPr>
        <w:t>lan would be entirely voluntary</w:t>
      </w:r>
      <w:r w:rsidR="00323E5B" w:rsidRPr="008542AF">
        <w:rPr>
          <w:rFonts w:asciiTheme="majorHAnsi" w:hAnsiTheme="majorHAnsi"/>
        </w:rPr>
        <w:t>.  Plans are governed by</w:t>
      </w:r>
      <w:r w:rsidR="00F015DD" w:rsidRPr="008542AF">
        <w:rPr>
          <w:rFonts w:asciiTheme="majorHAnsi" w:hAnsiTheme="majorHAnsi"/>
        </w:rPr>
        <w:t xml:space="preserve"> trustee boards</w:t>
      </w:r>
      <w:r w:rsidR="00323E5B" w:rsidRPr="008542AF">
        <w:rPr>
          <w:rFonts w:asciiTheme="majorHAnsi" w:hAnsiTheme="majorHAnsi"/>
        </w:rPr>
        <w:t xml:space="preserve"> with</w:t>
      </w:r>
      <w:r w:rsidR="000649D2" w:rsidRPr="008542AF">
        <w:rPr>
          <w:rFonts w:asciiTheme="majorHAnsi" w:hAnsiTheme="majorHAnsi"/>
        </w:rPr>
        <w:t xml:space="preserve"> an equal number of employer and employee represen</w:t>
      </w:r>
      <w:r w:rsidR="008F0B7A" w:rsidRPr="008542AF">
        <w:rPr>
          <w:rFonts w:asciiTheme="majorHAnsi" w:hAnsiTheme="majorHAnsi"/>
        </w:rPr>
        <w:t>tatives with a fiduciary</w:t>
      </w:r>
      <w:r w:rsidR="007465D3" w:rsidRPr="008542AF">
        <w:rPr>
          <w:rFonts w:asciiTheme="majorHAnsi" w:hAnsiTheme="majorHAnsi"/>
        </w:rPr>
        <w:t xml:space="preserve"> responsibility to</w:t>
      </w:r>
      <w:r w:rsidR="008542AF">
        <w:rPr>
          <w:rFonts w:asciiTheme="majorHAnsi" w:hAnsiTheme="majorHAnsi"/>
        </w:rPr>
        <w:t xml:space="preserve"> act for the sole and exclusive benefit of plan</w:t>
      </w:r>
      <w:r w:rsidR="007465D3" w:rsidRPr="008542AF">
        <w:rPr>
          <w:rFonts w:asciiTheme="majorHAnsi" w:hAnsiTheme="majorHAnsi"/>
        </w:rPr>
        <w:t xml:space="preserve"> participants</w:t>
      </w:r>
      <w:r w:rsidR="008542AF">
        <w:rPr>
          <w:rFonts w:asciiTheme="majorHAnsi" w:hAnsiTheme="majorHAnsi"/>
        </w:rPr>
        <w:t>.</w:t>
      </w:r>
      <w:r w:rsidR="007465D3" w:rsidRPr="008542AF">
        <w:rPr>
          <w:rFonts w:asciiTheme="majorHAnsi" w:hAnsiTheme="majorHAnsi"/>
        </w:rPr>
        <w:br/>
      </w:r>
    </w:p>
    <w:p w:rsidR="00E323BF" w:rsidRPr="008542AF" w:rsidRDefault="00B91C95" w:rsidP="0002153A">
      <w:pPr>
        <w:pStyle w:val="BodyTextIndent2"/>
        <w:numPr>
          <w:ilvl w:val="0"/>
          <w:numId w:val="16"/>
        </w:numPr>
        <w:spacing w:after="0" w:line="240" w:lineRule="auto"/>
        <w:rPr>
          <w:rFonts w:asciiTheme="majorHAnsi" w:hAnsiTheme="majorHAnsi"/>
          <w:sz w:val="22"/>
        </w:rPr>
      </w:pPr>
      <w:r w:rsidRPr="008542AF">
        <w:rPr>
          <w:rFonts w:asciiTheme="majorHAnsi" w:hAnsiTheme="majorHAnsi"/>
          <w:sz w:val="22"/>
        </w:rPr>
        <w:t xml:space="preserve">Plans would </w:t>
      </w:r>
      <w:r w:rsidR="00BA0992" w:rsidRPr="008542AF">
        <w:rPr>
          <w:rFonts w:asciiTheme="majorHAnsi" w:hAnsiTheme="majorHAnsi"/>
          <w:sz w:val="22"/>
        </w:rPr>
        <w:t>p</w:t>
      </w:r>
      <w:r w:rsidR="00E323BF" w:rsidRPr="008542AF">
        <w:rPr>
          <w:rFonts w:asciiTheme="majorHAnsi" w:hAnsiTheme="majorHAnsi"/>
          <w:sz w:val="22"/>
        </w:rPr>
        <w:t>ay benefits as lifetime annuities</w:t>
      </w:r>
      <w:r w:rsidR="00BA0992" w:rsidRPr="008542AF">
        <w:rPr>
          <w:rFonts w:asciiTheme="majorHAnsi" w:hAnsiTheme="majorHAnsi"/>
          <w:sz w:val="22"/>
        </w:rPr>
        <w:t xml:space="preserve"> – lump sums not allowed</w:t>
      </w:r>
      <w:r w:rsidR="008542AF">
        <w:rPr>
          <w:rFonts w:asciiTheme="majorHAnsi" w:hAnsiTheme="majorHAnsi"/>
          <w:sz w:val="22"/>
        </w:rPr>
        <w:t>.</w:t>
      </w:r>
      <w:r w:rsidR="007465D3" w:rsidRPr="008542AF">
        <w:rPr>
          <w:rFonts w:asciiTheme="majorHAnsi" w:hAnsiTheme="majorHAnsi"/>
          <w:sz w:val="22"/>
          <w:szCs w:val="22"/>
        </w:rPr>
        <w:br/>
      </w:r>
    </w:p>
    <w:p w:rsidR="00E323BF" w:rsidRPr="008542AF" w:rsidRDefault="00B91C95" w:rsidP="0002153A">
      <w:pPr>
        <w:pStyle w:val="BodyTextIndent2"/>
        <w:numPr>
          <w:ilvl w:val="0"/>
          <w:numId w:val="16"/>
        </w:numPr>
        <w:spacing w:after="0" w:line="240" w:lineRule="auto"/>
        <w:rPr>
          <w:rFonts w:asciiTheme="majorHAnsi" w:hAnsiTheme="majorHAnsi"/>
          <w:sz w:val="22"/>
        </w:rPr>
      </w:pPr>
      <w:r w:rsidRPr="008542AF">
        <w:rPr>
          <w:rFonts w:asciiTheme="majorHAnsi" w:hAnsiTheme="majorHAnsi"/>
          <w:sz w:val="22"/>
        </w:rPr>
        <w:t>Flexible design would e</w:t>
      </w:r>
      <w:r w:rsidR="00E323BF" w:rsidRPr="008542AF">
        <w:rPr>
          <w:rFonts w:asciiTheme="majorHAnsi" w:hAnsiTheme="majorHAnsi"/>
          <w:sz w:val="22"/>
        </w:rPr>
        <w:t xml:space="preserve">liminate </w:t>
      </w:r>
      <w:r w:rsidRPr="008542AF">
        <w:rPr>
          <w:rFonts w:asciiTheme="majorHAnsi" w:hAnsiTheme="majorHAnsi"/>
          <w:sz w:val="22"/>
        </w:rPr>
        <w:t>withdrawal l</w:t>
      </w:r>
      <w:r w:rsidR="00E323BF" w:rsidRPr="008542AF">
        <w:rPr>
          <w:rFonts w:asciiTheme="majorHAnsi" w:hAnsiTheme="majorHAnsi"/>
          <w:sz w:val="22"/>
        </w:rPr>
        <w:t xml:space="preserve">iability going forward </w:t>
      </w:r>
      <w:r w:rsidRPr="008542AF">
        <w:rPr>
          <w:rFonts w:asciiTheme="majorHAnsi" w:hAnsiTheme="majorHAnsi"/>
          <w:sz w:val="22"/>
        </w:rPr>
        <w:t>and</w:t>
      </w:r>
      <w:r w:rsidR="00E323BF" w:rsidRPr="008542AF">
        <w:rPr>
          <w:rFonts w:asciiTheme="majorHAnsi" w:hAnsiTheme="majorHAnsi"/>
          <w:sz w:val="22"/>
        </w:rPr>
        <w:t xml:space="preserve"> eliminate need for PBGC</w:t>
      </w:r>
      <w:r w:rsidR="007465D3" w:rsidRPr="008542AF">
        <w:rPr>
          <w:rFonts w:asciiTheme="majorHAnsi" w:hAnsiTheme="majorHAnsi"/>
          <w:sz w:val="22"/>
        </w:rPr>
        <w:t xml:space="preserve"> in the future</w:t>
      </w:r>
      <w:r w:rsidR="008542AF">
        <w:rPr>
          <w:rFonts w:asciiTheme="majorHAnsi" w:hAnsiTheme="majorHAnsi"/>
          <w:sz w:val="22"/>
        </w:rPr>
        <w:t>.</w:t>
      </w:r>
      <w:r w:rsidR="007465D3" w:rsidRPr="008542AF">
        <w:rPr>
          <w:rFonts w:asciiTheme="majorHAnsi" w:hAnsiTheme="majorHAnsi"/>
          <w:sz w:val="22"/>
          <w:szCs w:val="22"/>
        </w:rPr>
        <w:br/>
      </w:r>
    </w:p>
    <w:p w:rsidR="00E323BF" w:rsidRPr="008542AF" w:rsidRDefault="00B91C95" w:rsidP="0002153A">
      <w:pPr>
        <w:pStyle w:val="BodyTextIndent2"/>
        <w:numPr>
          <w:ilvl w:val="0"/>
          <w:numId w:val="16"/>
        </w:numPr>
        <w:spacing w:after="0" w:line="240" w:lineRule="auto"/>
        <w:rPr>
          <w:rFonts w:asciiTheme="majorHAnsi" w:hAnsiTheme="majorHAnsi"/>
          <w:sz w:val="22"/>
        </w:rPr>
      </w:pPr>
      <w:r w:rsidRPr="008542AF">
        <w:rPr>
          <w:rFonts w:asciiTheme="majorHAnsi" w:hAnsiTheme="majorHAnsi"/>
          <w:sz w:val="22"/>
        </w:rPr>
        <w:t>Plan assets</w:t>
      </w:r>
      <w:r w:rsidR="00E323BF" w:rsidRPr="008542AF">
        <w:rPr>
          <w:rFonts w:asciiTheme="majorHAnsi" w:hAnsiTheme="majorHAnsi"/>
          <w:sz w:val="22"/>
        </w:rPr>
        <w:t xml:space="preserve"> </w:t>
      </w:r>
      <w:r w:rsidRPr="008542AF">
        <w:rPr>
          <w:rFonts w:asciiTheme="majorHAnsi" w:hAnsiTheme="majorHAnsi"/>
          <w:sz w:val="22"/>
        </w:rPr>
        <w:t xml:space="preserve">would be </w:t>
      </w:r>
      <w:r w:rsidR="00E323BF" w:rsidRPr="008542AF">
        <w:rPr>
          <w:rFonts w:asciiTheme="majorHAnsi" w:hAnsiTheme="majorHAnsi"/>
          <w:sz w:val="22"/>
        </w:rPr>
        <w:t>professionally managed</w:t>
      </w:r>
      <w:r w:rsidR="008542AF">
        <w:rPr>
          <w:rFonts w:asciiTheme="majorHAnsi" w:hAnsiTheme="majorHAnsi"/>
          <w:sz w:val="22"/>
        </w:rPr>
        <w:t>.</w:t>
      </w:r>
      <w:r w:rsidR="007465D3" w:rsidRPr="008542AF">
        <w:rPr>
          <w:rFonts w:asciiTheme="majorHAnsi" w:hAnsiTheme="majorHAnsi"/>
          <w:sz w:val="22"/>
          <w:szCs w:val="22"/>
        </w:rPr>
        <w:br/>
      </w:r>
    </w:p>
    <w:p w:rsidR="00E323BF" w:rsidRPr="008542AF" w:rsidRDefault="00B91C95" w:rsidP="0002153A">
      <w:pPr>
        <w:pStyle w:val="BodyTextIndent2"/>
        <w:numPr>
          <w:ilvl w:val="0"/>
          <w:numId w:val="16"/>
        </w:numPr>
        <w:spacing w:after="0" w:line="240" w:lineRule="auto"/>
        <w:rPr>
          <w:rFonts w:asciiTheme="majorHAnsi" w:hAnsiTheme="majorHAnsi"/>
          <w:sz w:val="22"/>
        </w:rPr>
      </w:pPr>
      <w:r w:rsidRPr="008542AF">
        <w:rPr>
          <w:rFonts w:asciiTheme="majorHAnsi" w:hAnsiTheme="majorHAnsi"/>
          <w:sz w:val="22"/>
        </w:rPr>
        <w:t xml:space="preserve">Assets &amp; </w:t>
      </w:r>
      <w:r w:rsidR="00E323BF" w:rsidRPr="008542AF">
        <w:rPr>
          <w:rFonts w:asciiTheme="majorHAnsi" w:hAnsiTheme="majorHAnsi"/>
          <w:sz w:val="22"/>
        </w:rPr>
        <w:t>Mortality Risks would be pooled</w:t>
      </w:r>
      <w:r w:rsidRPr="008542AF">
        <w:rPr>
          <w:rFonts w:asciiTheme="majorHAnsi" w:hAnsiTheme="majorHAnsi"/>
          <w:sz w:val="22"/>
        </w:rPr>
        <w:t xml:space="preserve"> as in traditional defined benefit plan</w:t>
      </w:r>
      <w:r w:rsidR="00B203C6" w:rsidRPr="008542AF">
        <w:rPr>
          <w:rFonts w:asciiTheme="majorHAnsi" w:hAnsiTheme="majorHAnsi"/>
          <w:sz w:val="22"/>
        </w:rPr>
        <w:t>s</w:t>
      </w:r>
      <w:r w:rsidR="008542AF">
        <w:rPr>
          <w:rFonts w:asciiTheme="majorHAnsi" w:hAnsiTheme="majorHAnsi"/>
          <w:sz w:val="22"/>
        </w:rPr>
        <w:t>.</w:t>
      </w:r>
      <w:r w:rsidR="007465D3" w:rsidRPr="008542AF">
        <w:rPr>
          <w:rFonts w:asciiTheme="majorHAnsi" w:hAnsiTheme="majorHAnsi"/>
          <w:sz w:val="22"/>
          <w:szCs w:val="22"/>
        </w:rPr>
        <w:br/>
      </w:r>
    </w:p>
    <w:p w:rsidR="00B91C95" w:rsidRPr="008542AF" w:rsidRDefault="00B91C95" w:rsidP="0002153A">
      <w:pPr>
        <w:pStyle w:val="BodyTextIndent2"/>
        <w:numPr>
          <w:ilvl w:val="0"/>
          <w:numId w:val="16"/>
        </w:numPr>
        <w:spacing w:after="0" w:line="240" w:lineRule="auto"/>
        <w:rPr>
          <w:rFonts w:asciiTheme="majorHAnsi" w:hAnsiTheme="majorHAnsi"/>
          <w:sz w:val="22"/>
        </w:rPr>
      </w:pPr>
      <w:r w:rsidRPr="008542AF">
        <w:rPr>
          <w:rFonts w:asciiTheme="majorHAnsi" w:hAnsiTheme="majorHAnsi"/>
          <w:sz w:val="22"/>
        </w:rPr>
        <w:t>Participants benefit from negotiated fee levels to the plan – no individual fees</w:t>
      </w:r>
      <w:r w:rsidR="008542AF">
        <w:rPr>
          <w:rFonts w:asciiTheme="majorHAnsi" w:hAnsiTheme="majorHAnsi"/>
          <w:sz w:val="22"/>
        </w:rPr>
        <w:t>.</w:t>
      </w:r>
      <w:r w:rsidR="007465D3" w:rsidRPr="008542AF">
        <w:rPr>
          <w:rFonts w:asciiTheme="majorHAnsi" w:hAnsiTheme="majorHAnsi"/>
          <w:sz w:val="22"/>
          <w:szCs w:val="22"/>
        </w:rPr>
        <w:br/>
      </w:r>
    </w:p>
    <w:p w:rsidR="00E323BF" w:rsidRPr="008542AF" w:rsidRDefault="00B91C95" w:rsidP="0002153A">
      <w:pPr>
        <w:pStyle w:val="BodyTextIndent2"/>
        <w:numPr>
          <w:ilvl w:val="0"/>
          <w:numId w:val="16"/>
        </w:numPr>
        <w:spacing w:after="0" w:line="240" w:lineRule="auto"/>
        <w:rPr>
          <w:rFonts w:asciiTheme="majorHAnsi" w:hAnsiTheme="majorHAnsi"/>
          <w:sz w:val="22"/>
        </w:rPr>
      </w:pPr>
      <w:r w:rsidRPr="008542AF">
        <w:rPr>
          <w:rFonts w:asciiTheme="majorHAnsi" w:hAnsiTheme="majorHAnsi"/>
          <w:sz w:val="22"/>
        </w:rPr>
        <w:lastRenderedPageBreak/>
        <w:t xml:space="preserve">Benefits protected </w:t>
      </w:r>
      <w:r w:rsidR="001A5D46" w:rsidRPr="008542AF">
        <w:rPr>
          <w:rFonts w:asciiTheme="majorHAnsi" w:hAnsiTheme="majorHAnsi"/>
          <w:sz w:val="22"/>
        </w:rPr>
        <w:t xml:space="preserve">with strict </w:t>
      </w:r>
      <w:r w:rsidR="00E323BF" w:rsidRPr="008542AF">
        <w:rPr>
          <w:rFonts w:asciiTheme="majorHAnsi" w:hAnsiTheme="majorHAnsi"/>
          <w:sz w:val="22"/>
        </w:rPr>
        <w:t>conservative</w:t>
      </w:r>
      <w:r w:rsidRPr="008542AF">
        <w:rPr>
          <w:rFonts w:asciiTheme="majorHAnsi" w:hAnsiTheme="majorHAnsi"/>
          <w:sz w:val="22"/>
        </w:rPr>
        <w:t xml:space="preserve"> investment, management and</w:t>
      </w:r>
      <w:r w:rsidR="00E323BF" w:rsidRPr="008542AF">
        <w:rPr>
          <w:rFonts w:asciiTheme="majorHAnsi" w:hAnsiTheme="majorHAnsi"/>
          <w:sz w:val="22"/>
        </w:rPr>
        <w:t xml:space="preserve"> funding requirements </w:t>
      </w:r>
      <w:r w:rsidR="00BA0992" w:rsidRPr="008542AF">
        <w:rPr>
          <w:rFonts w:asciiTheme="majorHAnsi" w:hAnsiTheme="majorHAnsi"/>
          <w:sz w:val="22"/>
        </w:rPr>
        <w:t>–</w:t>
      </w:r>
      <w:r w:rsidRPr="008542AF">
        <w:rPr>
          <w:rFonts w:asciiTheme="majorHAnsi" w:hAnsiTheme="majorHAnsi"/>
          <w:sz w:val="22"/>
        </w:rPr>
        <w:t xml:space="preserve"> </w:t>
      </w:r>
      <w:r w:rsidR="00BA0992" w:rsidRPr="008542AF">
        <w:rPr>
          <w:rFonts w:asciiTheme="majorHAnsi" w:hAnsiTheme="majorHAnsi"/>
          <w:sz w:val="22"/>
        </w:rPr>
        <w:t>must be</w:t>
      </w:r>
      <w:r w:rsidR="00E323BF" w:rsidRPr="008542AF">
        <w:rPr>
          <w:rFonts w:asciiTheme="majorHAnsi" w:hAnsiTheme="majorHAnsi"/>
          <w:sz w:val="22"/>
        </w:rPr>
        <w:t xml:space="preserve"> funded at 120%</w:t>
      </w:r>
      <w:r w:rsidR="008542AF">
        <w:rPr>
          <w:rFonts w:asciiTheme="majorHAnsi" w:hAnsiTheme="majorHAnsi"/>
          <w:sz w:val="22"/>
        </w:rPr>
        <w:t>.</w:t>
      </w:r>
      <w:r w:rsidR="00E323BF" w:rsidRPr="008542AF">
        <w:rPr>
          <w:rFonts w:asciiTheme="majorHAnsi" w:hAnsiTheme="majorHAnsi"/>
          <w:sz w:val="22"/>
        </w:rPr>
        <w:t xml:space="preserve"> </w:t>
      </w:r>
      <w:r w:rsidR="007465D3" w:rsidRPr="008542AF">
        <w:rPr>
          <w:rFonts w:asciiTheme="majorHAnsi" w:hAnsiTheme="majorHAnsi"/>
          <w:sz w:val="22"/>
          <w:szCs w:val="22"/>
        </w:rPr>
        <w:br/>
      </w:r>
      <w:r w:rsidR="008542AF">
        <w:rPr>
          <w:rFonts w:asciiTheme="majorHAnsi" w:hAnsiTheme="majorHAnsi"/>
          <w:sz w:val="16"/>
        </w:rPr>
        <w:t xml:space="preserve"> </w:t>
      </w:r>
    </w:p>
    <w:p w:rsidR="00E323BF" w:rsidRPr="008542AF" w:rsidRDefault="00E323BF" w:rsidP="0002153A">
      <w:pPr>
        <w:pStyle w:val="BodyTextIndent2"/>
        <w:numPr>
          <w:ilvl w:val="0"/>
          <w:numId w:val="16"/>
        </w:numPr>
        <w:spacing w:after="0" w:line="240" w:lineRule="auto"/>
        <w:rPr>
          <w:rFonts w:asciiTheme="majorHAnsi" w:hAnsiTheme="majorHAnsi"/>
          <w:sz w:val="22"/>
        </w:rPr>
      </w:pPr>
      <w:r w:rsidRPr="008542AF">
        <w:rPr>
          <w:rFonts w:asciiTheme="majorHAnsi" w:hAnsiTheme="majorHAnsi"/>
          <w:sz w:val="22"/>
        </w:rPr>
        <w:t xml:space="preserve">Benefit improvements </w:t>
      </w:r>
      <w:r w:rsidR="007C6EC0" w:rsidRPr="008542AF">
        <w:rPr>
          <w:rFonts w:asciiTheme="majorHAnsi" w:hAnsiTheme="majorHAnsi"/>
          <w:sz w:val="22"/>
        </w:rPr>
        <w:t xml:space="preserve">strictly </w:t>
      </w:r>
      <w:r w:rsidRPr="008542AF">
        <w:rPr>
          <w:rFonts w:asciiTheme="majorHAnsi" w:hAnsiTheme="majorHAnsi"/>
          <w:sz w:val="22"/>
        </w:rPr>
        <w:t>linked to funding outlook</w:t>
      </w:r>
      <w:r w:rsidR="008542AF">
        <w:rPr>
          <w:rFonts w:asciiTheme="majorHAnsi" w:hAnsiTheme="majorHAnsi"/>
          <w:sz w:val="22"/>
        </w:rPr>
        <w:t>.</w:t>
      </w:r>
      <w:r w:rsidR="007465D3" w:rsidRPr="008542AF">
        <w:rPr>
          <w:rFonts w:asciiTheme="majorHAnsi" w:hAnsiTheme="majorHAnsi"/>
          <w:sz w:val="22"/>
          <w:szCs w:val="22"/>
        </w:rPr>
        <w:br/>
      </w:r>
    </w:p>
    <w:p w:rsidR="00B203C6" w:rsidRPr="008542AF" w:rsidRDefault="00277AAB" w:rsidP="0002153A">
      <w:pPr>
        <w:pStyle w:val="BodyTextIndent2"/>
        <w:numPr>
          <w:ilvl w:val="0"/>
          <w:numId w:val="16"/>
        </w:numPr>
        <w:spacing w:after="0" w:line="240" w:lineRule="auto"/>
        <w:rPr>
          <w:rFonts w:asciiTheme="majorHAnsi" w:hAnsiTheme="majorHAnsi"/>
          <w:sz w:val="22"/>
        </w:rPr>
      </w:pPr>
      <w:r w:rsidRPr="008542AF">
        <w:rPr>
          <w:rFonts w:asciiTheme="majorHAnsi" w:hAnsiTheme="majorHAnsi"/>
          <w:sz w:val="22"/>
        </w:rPr>
        <w:t>Core benefit protections</w:t>
      </w:r>
      <w:r w:rsidR="00BA0992" w:rsidRPr="008542AF">
        <w:rPr>
          <w:rFonts w:asciiTheme="majorHAnsi" w:hAnsiTheme="majorHAnsi"/>
          <w:sz w:val="22"/>
        </w:rPr>
        <w:t xml:space="preserve"> for v</w:t>
      </w:r>
      <w:r w:rsidR="00E323BF" w:rsidRPr="008542AF">
        <w:rPr>
          <w:rFonts w:asciiTheme="majorHAnsi" w:hAnsiTheme="majorHAnsi"/>
          <w:sz w:val="22"/>
        </w:rPr>
        <w:t>ulnerable populations</w:t>
      </w:r>
      <w:r w:rsidR="00BA0992" w:rsidRPr="008542AF">
        <w:rPr>
          <w:rFonts w:asciiTheme="majorHAnsi" w:hAnsiTheme="majorHAnsi"/>
          <w:sz w:val="22"/>
        </w:rPr>
        <w:t xml:space="preserve"> – those in pay status</w:t>
      </w:r>
      <w:r w:rsidR="008542AF">
        <w:rPr>
          <w:rFonts w:asciiTheme="majorHAnsi" w:hAnsiTheme="majorHAnsi"/>
          <w:sz w:val="22"/>
        </w:rPr>
        <w:t>.</w:t>
      </w:r>
      <w:r w:rsidR="00E323BF" w:rsidRPr="008542AF">
        <w:rPr>
          <w:rFonts w:asciiTheme="majorHAnsi" w:hAnsiTheme="majorHAnsi"/>
          <w:sz w:val="22"/>
        </w:rPr>
        <w:t xml:space="preserve"> </w:t>
      </w:r>
      <w:r w:rsidR="007465D3" w:rsidRPr="008542AF">
        <w:rPr>
          <w:rFonts w:asciiTheme="majorHAnsi" w:hAnsiTheme="majorHAnsi"/>
          <w:sz w:val="22"/>
          <w:szCs w:val="22"/>
        </w:rPr>
        <w:br/>
      </w:r>
    </w:p>
    <w:p w:rsidR="00E323BF" w:rsidRPr="008542AF" w:rsidRDefault="00B203C6" w:rsidP="0002153A">
      <w:pPr>
        <w:pStyle w:val="BodyTextIndent2"/>
        <w:numPr>
          <w:ilvl w:val="0"/>
          <w:numId w:val="16"/>
        </w:numPr>
        <w:spacing w:after="0" w:line="240" w:lineRule="auto"/>
        <w:rPr>
          <w:rFonts w:asciiTheme="majorHAnsi" w:hAnsiTheme="majorHAnsi"/>
          <w:sz w:val="22"/>
        </w:rPr>
      </w:pPr>
      <w:r w:rsidRPr="008542AF">
        <w:rPr>
          <w:rFonts w:asciiTheme="majorHAnsi" w:hAnsiTheme="majorHAnsi"/>
          <w:sz w:val="22"/>
        </w:rPr>
        <w:t>Legacy plans must continue to be adequately funded</w:t>
      </w:r>
      <w:r w:rsidR="008542AF">
        <w:rPr>
          <w:rFonts w:asciiTheme="majorHAnsi" w:hAnsiTheme="majorHAnsi"/>
          <w:sz w:val="22"/>
        </w:rPr>
        <w:t>.</w:t>
      </w:r>
      <w:r w:rsidR="00E323BF" w:rsidRPr="008542AF">
        <w:rPr>
          <w:rFonts w:asciiTheme="majorHAnsi" w:hAnsiTheme="majorHAnsi"/>
          <w:sz w:val="22"/>
        </w:rPr>
        <w:t xml:space="preserve"> </w:t>
      </w:r>
    </w:p>
    <w:p w:rsidR="00587B0D" w:rsidRPr="008542AF" w:rsidRDefault="00587B0D" w:rsidP="008542AF">
      <w:pPr>
        <w:rPr>
          <w:rFonts w:asciiTheme="majorHAnsi" w:hAnsiTheme="majorHAnsi"/>
          <w:b/>
          <w:szCs w:val="22"/>
        </w:rPr>
      </w:pPr>
    </w:p>
    <w:p w:rsidR="00587B0D" w:rsidRPr="008542AF" w:rsidRDefault="00587B0D" w:rsidP="00587B0D">
      <w:pPr>
        <w:rPr>
          <w:rFonts w:asciiTheme="majorHAnsi" w:hAnsiTheme="majorHAnsi"/>
          <w:b/>
          <w:color w:val="0070C0"/>
          <w:u w:val="single"/>
        </w:rPr>
      </w:pPr>
      <w:r w:rsidRPr="008542AF">
        <w:rPr>
          <w:rFonts w:asciiTheme="majorHAnsi" w:hAnsiTheme="majorHAnsi"/>
          <w:b/>
          <w:color w:val="0070C0"/>
          <w:u w:val="single"/>
        </w:rPr>
        <w:t xml:space="preserve">Key Points:  </w:t>
      </w:r>
      <w:r w:rsidRPr="008542AF">
        <w:rPr>
          <w:rFonts w:asciiTheme="majorHAnsi" w:hAnsiTheme="majorHAnsi"/>
          <w:b/>
          <w:color w:val="0070C0"/>
          <w:u w:val="single"/>
        </w:rPr>
        <w:br/>
      </w:r>
    </w:p>
    <w:p w:rsidR="00277AAB" w:rsidRPr="008542AF" w:rsidRDefault="00277AAB" w:rsidP="00277AAB">
      <w:pPr>
        <w:pStyle w:val="ListParagraph"/>
        <w:numPr>
          <w:ilvl w:val="0"/>
          <w:numId w:val="8"/>
        </w:numPr>
        <w:rPr>
          <w:rFonts w:asciiTheme="majorHAnsi" w:hAnsiTheme="majorHAnsi"/>
          <w:b/>
        </w:rPr>
      </w:pPr>
      <w:r w:rsidRPr="008542AF">
        <w:rPr>
          <w:rFonts w:asciiTheme="majorHAnsi" w:hAnsiTheme="majorHAnsi"/>
        </w:rPr>
        <w:t>The proposal for new plan design has la</w:t>
      </w:r>
      <w:r w:rsidR="00E808CF" w:rsidRPr="008542AF">
        <w:rPr>
          <w:rFonts w:asciiTheme="majorHAnsi" w:hAnsiTheme="majorHAnsi"/>
        </w:rPr>
        <w:t>bor-management and</w:t>
      </w:r>
      <w:r w:rsidRPr="008542AF">
        <w:rPr>
          <w:rFonts w:asciiTheme="majorHAnsi" w:hAnsiTheme="majorHAnsi"/>
        </w:rPr>
        <w:t xml:space="preserve"> bi-partisan support</w:t>
      </w:r>
      <w:r w:rsidR="008542AF">
        <w:rPr>
          <w:rFonts w:asciiTheme="majorHAnsi" w:hAnsiTheme="majorHAnsi"/>
        </w:rPr>
        <w:t>.</w:t>
      </w:r>
      <w:r w:rsidR="008542AF">
        <w:rPr>
          <w:rFonts w:asciiTheme="majorHAnsi" w:hAnsiTheme="majorHAnsi"/>
        </w:rPr>
        <w:br/>
      </w:r>
    </w:p>
    <w:p w:rsidR="00E808CF" w:rsidRPr="008542AF" w:rsidRDefault="00E808CF" w:rsidP="00E808CF">
      <w:pPr>
        <w:pStyle w:val="ListParagraph"/>
        <w:numPr>
          <w:ilvl w:val="0"/>
          <w:numId w:val="8"/>
        </w:numPr>
        <w:rPr>
          <w:rFonts w:asciiTheme="majorHAnsi" w:hAnsiTheme="majorHAnsi" w:cs="Cambria"/>
          <w:b/>
          <w:bCs/>
          <w:i/>
        </w:rPr>
      </w:pPr>
      <w:r w:rsidRPr="008542AF">
        <w:rPr>
          <w:rFonts w:asciiTheme="majorHAnsi" w:hAnsiTheme="majorHAnsi" w:cs="Cambria"/>
          <w:bCs/>
        </w:rPr>
        <w:t>Composite designs would improve the ability of plans to retain existi</w:t>
      </w:r>
      <w:r w:rsidR="00F776E7" w:rsidRPr="008542AF">
        <w:rPr>
          <w:rFonts w:asciiTheme="majorHAnsi" w:hAnsiTheme="majorHAnsi" w:cs="Cambria"/>
          <w:bCs/>
        </w:rPr>
        <w:t xml:space="preserve">ng contributing employers and </w:t>
      </w:r>
      <w:r w:rsidR="008542AF">
        <w:rPr>
          <w:rFonts w:asciiTheme="majorHAnsi" w:hAnsiTheme="majorHAnsi" w:cs="Cambria"/>
          <w:bCs/>
        </w:rPr>
        <w:t>c</w:t>
      </w:r>
      <w:r w:rsidR="00F776E7" w:rsidRPr="008542AF">
        <w:rPr>
          <w:rFonts w:asciiTheme="majorHAnsi" w:hAnsiTheme="majorHAnsi" w:cs="Cambria"/>
          <w:bCs/>
        </w:rPr>
        <w:t>ould</w:t>
      </w:r>
      <w:r w:rsidRPr="008542AF">
        <w:rPr>
          <w:rFonts w:asciiTheme="majorHAnsi" w:hAnsiTheme="majorHAnsi" w:cs="Cambria"/>
          <w:bCs/>
        </w:rPr>
        <w:t xml:space="preserve"> attract new employers by eliminating unfunded liabilities/withdrawal liability for employers going forward</w:t>
      </w:r>
      <w:r w:rsidR="008542AF">
        <w:rPr>
          <w:rFonts w:asciiTheme="majorHAnsi" w:hAnsiTheme="majorHAnsi" w:cs="Cambria"/>
          <w:bCs/>
        </w:rPr>
        <w:t>.</w:t>
      </w:r>
      <w:r w:rsidR="008542AF">
        <w:rPr>
          <w:rFonts w:asciiTheme="majorHAnsi" w:hAnsiTheme="majorHAnsi" w:cs="Cambria"/>
          <w:bCs/>
        </w:rPr>
        <w:br/>
      </w:r>
    </w:p>
    <w:p w:rsidR="00D90D5B" w:rsidRPr="008542AF" w:rsidRDefault="00E808CF" w:rsidP="00E808CF">
      <w:pPr>
        <w:pStyle w:val="ListParagraph"/>
        <w:numPr>
          <w:ilvl w:val="0"/>
          <w:numId w:val="8"/>
        </w:numPr>
        <w:rPr>
          <w:rFonts w:asciiTheme="majorHAnsi" w:hAnsiTheme="majorHAnsi" w:cs="Cambria"/>
          <w:bCs/>
        </w:rPr>
      </w:pPr>
      <w:r w:rsidRPr="008542AF">
        <w:rPr>
          <w:rFonts w:asciiTheme="majorHAnsi" w:hAnsiTheme="majorHAnsi" w:cs="Cambria"/>
          <w:bCs/>
        </w:rPr>
        <w:t xml:space="preserve"> Transitioning </w:t>
      </w:r>
      <w:r w:rsidR="00F776E7" w:rsidRPr="008542AF">
        <w:rPr>
          <w:rFonts w:asciiTheme="majorHAnsi" w:hAnsiTheme="majorHAnsi" w:cs="Cambria"/>
          <w:bCs/>
        </w:rPr>
        <w:t xml:space="preserve">to new </w:t>
      </w:r>
      <w:r w:rsidR="00FB6753" w:rsidRPr="008542AF">
        <w:rPr>
          <w:rFonts w:asciiTheme="majorHAnsi" w:hAnsiTheme="majorHAnsi" w:cs="Cambria"/>
          <w:bCs/>
        </w:rPr>
        <w:t xml:space="preserve">composite </w:t>
      </w:r>
      <w:r w:rsidR="00F776E7" w:rsidRPr="008542AF">
        <w:rPr>
          <w:rFonts w:asciiTheme="majorHAnsi" w:hAnsiTheme="majorHAnsi" w:cs="Cambria"/>
          <w:bCs/>
        </w:rPr>
        <w:t xml:space="preserve">design </w:t>
      </w:r>
      <w:r w:rsidRPr="008542AF">
        <w:rPr>
          <w:rFonts w:asciiTheme="majorHAnsi" w:hAnsiTheme="majorHAnsi" w:cs="Cambria"/>
          <w:bCs/>
        </w:rPr>
        <w:t>would improve retireme</w:t>
      </w:r>
      <w:r w:rsidR="00FB6753" w:rsidRPr="008542AF">
        <w:rPr>
          <w:rFonts w:asciiTheme="majorHAnsi" w:hAnsiTheme="majorHAnsi" w:cs="Cambria"/>
          <w:bCs/>
        </w:rPr>
        <w:t xml:space="preserve">nt security for active workers </w:t>
      </w:r>
      <w:r w:rsidRPr="008542AF">
        <w:rPr>
          <w:rFonts w:asciiTheme="majorHAnsi" w:hAnsiTheme="majorHAnsi" w:cs="Cambria"/>
          <w:bCs/>
        </w:rPr>
        <w:t>and</w:t>
      </w:r>
      <w:r w:rsidR="00961D9A" w:rsidRPr="008542AF">
        <w:rPr>
          <w:rFonts w:asciiTheme="majorHAnsi" w:hAnsiTheme="majorHAnsi" w:cs="Cambria"/>
          <w:bCs/>
        </w:rPr>
        <w:t xml:space="preserve"> would not affect</w:t>
      </w:r>
      <w:r w:rsidR="00F776E7" w:rsidRPr="008542AF">
        <w:rPr>
          <w:rFonts w:asciiTheme="majorHAnsi" w:hAnsiTheme="majorHAnsi" w:cs="Cambria"/>
          <w:bCs/>
        </w:rPr>
        <w:t xml:space="preserve"> already accrued</w:t>
      </w:r>
      <w:r w:rsidRPr="008542AF">
        <w:rPr>
          <w:rFonts w:asciiTheme="majorHAnsi" w:hAnsiTheme="majorHAnsi" w:cs="Cambria"/>
          <w:bCs/>
        </w:rPr>
        <w:t xml:space="preserve"> benefits</w:t>
      </w:r>
      <w:r w:rsidR="008542AF">
        <w:rPr>
          <w:rFonts w:asciiTheme="majorHAnsi" w:hAnsiTheme="majorHAnsi" w:cs="Cambria"/>
          <w:bCs/>
        </w:rPr>
        <w:t xml:space="preserve">. </w:t>
      </w:r>
      <w:r w:rsidR="008542AF">
        <w:rPr>
          <w:rFonts w:asciiTheme="majorHAnsi" w:hAnsiTheme="majorHAnsi" w:cs="Cambria"/>
          <w:bCs/>
        </w:rPr>
        <w:br/>
      </w:r>
    </w:p>
    <w:p w:rsidR="008542AF" w:rsidRPr="008542AF" w:rsidRDefault="00AC263C" w:rsidP="00E808CF">
      <w:pPr>
        <w:pStyle w:val="ListParagraph"/>
        <w:numPr>
          <w:ilvl w:val="0"/>
          <w:numId w:val="8"/>
        </w:numPr>
        <w:rPr>
          <w:rFonts w:asciiTheme="majorHAnsi" w:hAnsiTheme="majorHAnsi"/>
          <w:b/>
        </w:rPr>
      </w:pPr>
      <w:r w:rsidRPr="008542AF">
        <w:rPr>
          <w:rFonts w:asciiTheme="majorHAnsi" w:hAnsiTheme="majorHAnsi"/>
        </w:rPr>
        <w:t>The p</w:t>
      </w:r>
      <w:r w:rsidR="00587B0D" w:rsidRPr="008542AF">
        <w:rPr>
          <w:rFonts w:asciiTheme="majorHAnsi" w:hAnsiTheme="majorHAnsi"/>
        </w:rPr>
        <w:t xml:space="preserve">roposal is a private sector solution, not requiring government dollars </w:t>
      </w:r>
      <w:r w:rsidR="00E808CF" w:rsidRPr="008542AF">
        <w:rPr>
          <w:rFonts w:asciiTheme="majorHAnsi" w:hAnsiTheme="majorHAnsi"/>
        </w:rPr>
        <w:t xml:space="preserve">and </w:t>
      </w:r>
      <w:r w:rsidR="00FB6753" w:rsidRPr="008542AF">
        <w:rPr>
          <w:rFonts w:asciiTheme="majorHAnsi" w:hAnsiTheme="majorHAnsi"/>
        </w:rPr>
        <w:t xml:space="preserve">is </w:t>
      </w:r>
      <w:r w:rsidR="00E808CF" w:rsidRPr="008542AF">
        <w:rPr>
          <w:rFonts w:asciiTheme="majorHAnsi" w:hAnsiTheme="majorHAnsi"/>
        </w:rPr>
        <w:t xml:space="preserve">designed to keep </w:t>
      </w:r>
      <w:r w:rsidR="00FB6753" w:rsidRPr="008542AF">
        <w:rPr>
          <w:rFonts w:asciiTheme="majorHAnsi" w:hAnsiTheme="majorHAnsi"/>
        </w:rPr>
        <w:t xml:space="preserve">the </w:t>
      </w:r>
      <w:r w:rsidR="00E808CF" w:rsidRPr="008542AF">
        <w:rPr>
          <w:rFonts w:asciiTheme="majorHAnsi" w:hAnsiTheme="majorHAnsi"/>
        </w:rPr>
        <w:t xml:space="preserve">current </w:t>
      </w:r>
      <w:r w:rsidR="00FB6753" w:rsidRPr="008542AF">
        <w:rPr>
          <w:rFonts w:asciiTheme="majorHAnsi" w:hAnsiTheme="majorHAnsi"/>
        </w:rPr>
        <w:t xml:space="preserve">funding </w:t>
      </w:r>
      <w:r w:rsidR="00961D9A" w:rsidRPr="008542AF">
        <w:rPr>
          <w:rFonts w:asciiTheme="majorHAnsi" w:hAnsiTheme="majorHAnsi"/>
        </w:rPr>
        <w:t>crisis from happening in the future</w:t>
      </w:r>
      <w:r w:rsidR="008542AF">
        <w:rPr>
          <w:rFonts w:asciiTheme="majorHAnsi" w:hAnsiTheme="majorHAnsi"/>
        </w:rPr>
        <w:t>.</w:t>
      </w:r>
    </w:p>
    <w:p w:rsidR="00E808CF" w:rsidRPr="008542AF" w:rsidRDefault="00E808CF" w:rsidP="008542AF">
      <w:pPr>
        <w:pStyle w:val="ListParagraph"/>
        <w:rPr>
          <w:rFonts w:asciiTheme="majorHAnsi" w:hAnsiTheme="majorHAnsi"/>
          <w:b/>
          <w:sz w:val="16"/>
        </w:rPr>
      </w:pPr>
    </w:p>
    <w:p w:rsidR="00587B0D" w:rsidRPr="008542AF" w:rsidRDefault="00587B0D" w:rsidP="00587B0D">
      <w:pPr>
        <w:pStyle w:val="ListParagraph"/>
        <w:numPr>
          <w:ilvl w:val="0"/>
          <w:numId w:val="8"/>
        </w:numPr>
        <w:rPr>
          <w:rFonts w:asciiTheme="majorHAnsi" w:hAnsiTheme="majorHAnsi"/>
        </w:rPr>
      </w:pPr>
      <w:r w:rsidRPr="008542AF">
        <w:rPr>
          <w:rFonts w:asciiTheme="majorHAnsi" w:hAnsiTheme="majorHAnsi"/>
        </w:rPr>
        <w:t>Plan stability helps PBGC with its funding liabilities</w:t>
      </w:r>
      <w:r w:rsidR="008542AF">
        <w:rPr>
          <w:rFonts w:asciiTheme="majorHAnsi" w:hAnsiTheme="majorHAnsi"/>
        </w:rPr>
        <w:t>.</w:t>
      </w:r>
      <w:r w:rsidR="008542AF">
        <w:rPr>
          <w:rFonts w:asciiTheme="majorHAnsi" w:hAnsiTheme="majorHAnsi"/>
        </w:rPr>
        <w:br/>
      </w:r>
    </w:p>
    <w:p w:rsidR="00587B0D" w:rsidRPr="008542AF" w:rsidRDefault="00FB6753" w:rsidP="00587B0D">
      <w:pPr>
        <w:pStyle w:val="ListParagraph"/>
        <w:numPr>
          <w:ilvl w:val="0"/>
          <w:numId w:val="8"/>
        </w:numPr>
        <w:rPr>
          <w:rFonts w:asciiTheme="majorHAnsi" w:hAnsiTheme="majorHAnsi"/>
        </w:rPr>
      </w:pPr>
      <w:r w:rsidRPr="008542AF">
        <w:rPr>
          <w:rFonts w:asciiTheme="majorHAnsi" w:hAnsiTheme="majorHAnsi"/>
        </w:rPr>
        <w:t>The p</w:t>
      </w:r>
      <w:r w:rsidR="00277AAB" w:rsidRPr="008542AF">
        <w:rPr>
          <w:rFonts w:asciiTheme="majorHAnsi" w:hAnsiTheme="majorHAnsi"/>
        </w:rPr>
        <w:t>roposal</w:t>
      </w:r>
      <w:r w:rsidR="00E808CF" w:rsidRPr="008542AF">
        <w:rPr>
          <w:rFonts w:asciiTheme="majorHAnsi" w:hAnsiTheme="majorHAnsi"/>
        </w:rPr>
        <w:t xml:space="preserve"> is</w:t>
      </w:r>
      <w:r w:rsidR="00D90D5B" w:rsidRPr="008542AF">
        <w:rPr>
          <w:rFonts w:asciiTheme="majorHAnsi" w:hAnsiTheme="majorHAnsi"/>
        </w:rPr>
        <w:t xml:space="preserve"> workable;</w:t>
      </w:r>
      <w:r w:rsidRPr="008542AF">
        <w:rPr>
          <w:rFonts w:asciiTheme="majorHAnsi" w:hAnsiTheme="majorHAnsi"/>
        </w:rPr>
        <w:t xml:space="preserve"> the</w:t>
      </w:r>
      <w:r w:rsidR="00E808CF" w:rsidRPr="008542AF">
        <w:rPr>
          <w:rFonts w:asciiTheme="majorHAnsi" w:hAnsiTheme="majorHAnsi"/>
        </w:rPr>
        <w:t xml:space="preserve"> design</w:t>
      </w:r>
      <w:r w:rsidR="00D90D5B" w:rsidRPr="008542AF">
        <w:rPr>
          <w:rFonts w:asciiTheme="majorHAnsi" w:hAnsiTheme="majorHAnsi"/>
        </w:rPr>
        <w:t xml:space="preserve"> process</w:t>
      </w:r>
      <w:r w:rsidRPr="008542AF">
        <w:rPr>
          <w:rFonts w:asciiTheme="majorHAnsi" w:hAnsiTheme="majorHAnsi"/>
        </w:rPr>
        <w:t xml:space="preserve"> included plan administrators, </w:t>
      </w:r>
      <w:r w:rsidR="00587B0D" w:rsidRPr="008542AF">
        <w:rPr>
          <w:rFonts w:asciiTheme="majorHAnsi" w:hAnsiTheme="majorHAnsi"/>
        </w:rPr>
        <w:t>actuaries and accountants</w:t>
      </w:r>
      <w:r w:rsidR="00277AAB" w:rsidRPr="008542AF">
        <w:rPr>
          <w:rFonts w:asciiTheme="majorHAnsi" w:hAnsiTheme="majorHAnsi"/>
        </w:rPr>
        <w:t>, labor and management</w:t>
      </w:r>
      <w:r w:rsidR="008542AF">
        <w:rPr>
          <w:rFonts w:asciiTheme="majorHAnsi" w:hAnsiTheme="majorHAnsi"/>
        </w:rPr>
        <w:t>.</w:t>
      </w:r>
      <w:r w:rsidR="008542AF">
        <w:rPr>
          <w:rFonts w:asciiTheme="majorHAnsi" w:hAnsiTheme="majorHAnsi"/>
        </w:rPr>
        <w:br/>
      </w:r>
      <w:r w:rsidR="008542AF">
        <w:rPr>
          <w:rFonts w:asciiTheme="majorHAnsi" w:hAnsiTheme="majorHAnsi"/>
          <w:sz w:val="16"/>
        </w:rPr>
        <w:t xml:space="preserve"> </w:t>
      </w:r>
    </w:p>
    <w:p w:rsidR="00961D9A" w:rsidRPr="008542AF" w:rsidRDefault="00D3775B" w:rsidP="00277AAB">
      <w:pPr>
        <w:pStyle w:val="ListParagraph"/>
        <w:numPr>
          <w:ilvl w:val="0"/>
          <w:numId w:val="8"/>
        </w:numPr>
        <w:rPr>
          <w:rFonts w:asciiTheme="majorHAnsi" w:hAnsiTheme="majorHAnsi"/>
          <w:b/>
        </w:rPr>
      </w:pPr>
      <w:r w:rsidRPr="008542AF">
        <w:rPr>
          <w:rFonts w:asciiTheme="majorHAnsi" w:hAnsiTheme="majorHAnsi"/>
        </w:rPr>
        <w:t xml:space="preserve">The </w:t>
      </w:r>
      <w:r w:rsidR="00D90D5B" w:rsidRPr="008542AF">
        <w:rPr>
          <w:rFonts w:asciiTheme="majorHAnsi" w:hAnsiTheme="majorHAnsi"/>
        </w:rPr>
        <w:t>c</w:t>
      </w:r>
      <w:r w:rsidR="00277AAB" w:rsidRPr="008542AF">
        <w:rPr>
          <w:rFonts w:asciiTheme="majorHAnsi" w:hAnsiTheme="majorHAnsi"/>
        </w:rPr>
        <w:t xml:space="preserve">onstruction industry, comprising about 54% of multiemployer plans, </w:t>
      </w:r>
      <w:r w:rsidR="00FB6753" w:rsidRPr="008542AF">
        <w:rPr>
          <w:rFonts w:asciiTheme="majorHAnsi" w:hAnsiTheme="majorHAnsi"/>
        </w:rPr>
        <w:t xml:space="preserve">covering 37% of participants, </w:t>
      </w:r>
      <w:r w:rsidR="00277AAB" w:rsidRPr="008542AF">
        <w:rPr>
          <w:rFonts w:asciiTheme="majorHAnsi" w:hAnsiTheme="majorHAnsi"/>
        </w:rPr>
        <w:t>was part</w:t>
      </w:r>
      <w:r w:rsidR="00D90D5B" w:rsidRPr="008542AF">
        <w:rPr>
          <w:rFonts w:asciiTheme="majorHAnsi" w:hAnsiTheme="majorHAnsi"/>
        </w:rPr>
        <w:t xml:space="preserve">icularly hard hit by the recession.   </w:t>
      </w:r>
      <w:r w:rsidR="00496036" w:rsidRPr="008542AF">
        <w:rPr>
          <w:rFonts w:asciiTheme="majorHAnsi" w:hAnsiTheme="majorHAnsi"/>
        </w:rPr>
        <w:t xml:space="preserve"> </w:t>
      </w:r>
      <w:r w:rsidR="00FB6753" w:rsidRPr="008542AF">
        <w:rPr>
          <w:rFonts w:asciiTheme="majorHAnsi" w:hAnsiTheme="majorHAnsi"/>
        </w:rPr>
        <w:t>The majority of</w:t>
      </w:r>
      <w:r w:rsidR="00D90D5B" w:rsidRPr="008542AF">
        <w:rPr>
          <w:rFonts w:asciiTheme="majorHAnsi" w:hAnsiTheme="majorHAnsi"/>
        </w:rPr>
        <w:t xml:space="preserve"> construction industry employers are small family-owned businesses.</w:t>
      </w:r>
      <w:r w:rsidR="00961D9A" w:rsidRPr="008542AF">
        <w:rPr>
          <w:rFonts w:asciiTheme="majorHAnsi" w:hAnsiTheme="majorHAnsi"/>
        </w:rPr>
        <w:t xml:space="preserve"> </w:t>
      </w:r>
      <w:r w:rsidR="008542AF">
        <w:rPr>
          <w:rFonts w:asciiTheme="majorHAnsi" w:hAnsiTheme="majorHAnsi"/>
        </w:rPr>
        <w:br/>
      </w:r>
    </w:p>
    <w:p w:rsidR="00865137" w:rsidRPr="008542AF" w:rsidRDefault="00865137" w:rsidP="00277AAB">
      <w:pPr>
        <w:pStyle w:val="ListParagraph"/>
        <w:numPr>
          <w:ilvl w:val="0"/>
          <w:numId w:val="8"/>
        </w:numPr>
        <w:rPr>
          <w:rFonts w:asciiTheme="majorHAnsi" w:hAnsiTheme="majorHAnsi"/>
          <w:b/>
        </w:rPr>
      </w:pPr>
      <w:r w:rsidRPr="008542AF">
        <w:rPr>
          <w:rFonts w:asciiTheme="majorHAnsi" w:hAnsiTheme="majorHAnsi"/>
        </w:rPr>
        <w:t xml:space="preserve"> W</w:t>
      </w:r>
      <w:r w:rsidR="00961D9A" w:rsidRPr="008542AF">
        <w:rPr>
          <w:rFonts w:asciiTheme="majorHAnsi" w:hAnsiTheme="majorHAnsi"/>
        </w:rPr>
        <w:t>ithdrawal liability</w:t>
      </w:r>
      <w:r w:rsidRPr="008542AF">
        <w:rPr>
          <w:rFonts w:asciiTheme="majorHAnsi" w:hAnsiTheme="majorHAnsi"/>
        </w:rPr>
        <w:t xml:space="preserve"> can exceed the value of even a successful company so owners are unable to sell their business and hesitate to transition their business to their children.</w:t>
      </w:r>
      <w:r w:rsidR="00B203C6" w:rsidRPr="008542AF">
        <w:rPr>
          <w:rFonts w:asciiTheme="majorHAnsi" w:hAnsiTheme="majorHAnsi"/>
        </w:rPr>
        <w:t xml:space="preserve"> </w:t>
      </w:r>
      <w:r w:rsidR="008542AF">
        <w:rPr>
          <w:rFonts w:asciiTheme="majorHAnsi" w:hAnsiTheme="majorHAnsi"/>
        </w:rPr>
        <w:br/>
      </w:r>
    </w:p>
    <w:p w:rsidR="00D90D5B" w:rsidRPr="008542AF" w:rsidRDefault="00FB6753" w:rsidP="00277AAB">
      <w:pPr>
        <w:pStyle w:val="ListParagraph"/>
        <w:numPr>
          <w:ilvl w:val="0"/>
          <w:numId w:val="8"/>
        </w:numPr>
        <w:rPr>
          <w:rFonts w:asciiTheme="majorHAnsi" w:hAnsiTheme="majorHAnsi"/>
          <w:b/>
        </w:rPr>
      </w:pPr>
      <w:r w:rsidRPr="008542AF">
        <w:rPr>
          <w:rFonts w:asciiTheme="majorHAnsi" w:hAnsiTheme="majorHAnsi"/>
        </w:rPr>
        <w:lastRenderedPageBreak/>
        <w:t xml:space="preserve">QCA employers want to continue to provide long-term retirement security </w:t>
      </w:r>
      <w:r w:rsidR="00961D9A" w:rsidRPr="008542AF">
        <w:rPr>
          <w:rFonts w:asciiTheme="majorHAnsi" w:hAnsiTheme="majorHAnsi"/>
        </w:rPr>
        <w:t>to their workers but first they must</w:t>
      </w:r>
      <w:r w:rsidR="00C76974" w:rsidRPr="008542AF">
        <w:rPr>
          <w:rFonts w:asciiTheme="majorHAnsi" w:hAnsiTheme="majorHAnsi"/>
        </w:rPr>
        <w:t xml:space="preserve"> ensure the viability of their companies.   Without new plan design,</w:t>
      </w:r>
      <w:r w:rsidR="00961D9A" w:rsidRPr="008542AF">
        <w:rPr>
          <w:rFonts w:asciiTheme="majorHAnsi" w:hAnsiTheme="majorHAnsi"/>
        </w:rPr>
        <w:t xml:space="preserve"> the </w:t>
      </w:r>
      <w:r w:rsidR="00377AEF" w:rsidRPr="008542AF">
        <w:rPr>
          <w:rFonts w:asciiTheme="majorHAnsi" w:hAnsiTheme="majorHAnsi"/>
        </w:rPr>
        <w:t xml:space="preserve">good jobs with </w:t>
      </w:r>
      <w:r w:rsidR="00961D9A" w:rsidRPr="008542AF">
        <w:rPr>
          <w:rFonts w:asciiTheme="majorHAnsi" w:hAnsiTheme="majorHAnsi"/>
        </w:rPr>
        <w:t>pension benefits they provide are at risk.</w:t>
      </w:r>
    </w:p>
    <w:p w:rsidR="00423BF4" w:rsidRPr="008542AF" w:rsidRDefault="00423BF4" w:rsidP="00587B0D">
      <w:pPr>
        <w:rPr>
          <w:rFonts w:asciiTheme="majorHAnsi" w:hAnsiTheme="majorHAnsi"/>
          <w:color w:val="0070C0"/>
        </w:rPr>
      </w:pPr>
      <w:r w:rsidRPr="008542AF">
        <w:rPr>
          <w:rFonts w:asciiTheme="majorHAnsi" w:hAnsiTheme="majorHAnsi"/>
          <w:b/>
          <w:color w:val="0070C0"/>
          <w:u w:val="single"/>
        </w:rPr>
        <w:t>Status:</w:t>
      </w:r>
      <w:r w:rsidRPr="008542AF">
        <w:rPr>
          <w:rFonts w:asciiTheme="majorHAnsi" w:hAnsiTheme="majorHAnsi"/>
          <w:color w:val="0070C0"/>
        </w:rPr>
        <w:t xml:space="preserve"> </w:t>
      </w:r>
    </w:p>
    <w:p w:rsidR="00423BF4" w:rsidRPr="008542AF" w:rsidRDefault="00423BF4" w:rsidP="00587B0D">
      <w:pPr>
        <w:rPr>
          <w:rFonts w:asciiTheme="majorHAnsi" w:hAnsiTheme="majorHAnsi"/>
          <w:color w:val="0070C0"/>
          <w:sz w:val="10"/>
          <w:szCs w:val="10"/>
        </w:rPr>
      </w:pPr>
    </w:p>
    <w:p w:rsidR="00587B0D" w:rsidRPr="008542AF" w:rsidRDefault="00587B0D" w:rsidP="00587B0D">
      <w:pPr>
        <w:rPr>
          <w:rFonts w:asciiTheme="majorHAnsi" w:hAnsiTheme="majorHAnsi"/>
        </w:rPr>
      </w:pPr>
      <w:r w:rsidRPr="008542AF">
        <w:rPr>
          <w:rFonts w:asciiTheme="majorHAnsi" w:hAnsiTheme="majorHAnsi"/>
        </w:rPr>
        <w:t>Legisl</w:t>
      </w:r>
      <w:r w:rsidR="00277AAB" w:rsidRPr="008542AF">
        <w:rPr>
          <w:rFonts w:asciiTheme="majorHAnsi" w:hAnsiTheme="majorHAnsi"/>
        </w:rPr>
        <w:t xml:space="preserve">ative language is being drafted.  </w:t>
      </w:r>
      <w:r w:rsidR="007465D3" w:rsidRPr="008542AF">
        <w:rPr>
          <w:rFonts w:asciiTheme="majorHAnsi" w:hAnsiTheme="majorHAnsi"/>
        </w:rPr>
        <w:t>A</w:t>
      </w:r>
      <w:r w:rsidR="00F776E7" w:rsidRPr="008542AF">
        <w:rPr>
          <w:rFonts w:asciiTheme="majorHAnsi" w:hAnsiTheme="majorHAnsi"/>
        </w:rPr>
        <w:t xml:space="preserve"> hearing in the House Education and Wor</w:t>
      </w:r>
      <w:r w:rsidR="003C1940" w:rsidRPr="008542AF">
        <w:rPr>
          <w:rFonts w:asciiTheme="majorHAnsi" w:hAnsiTheme="majorHAnsi"/>
        </w:rPr>
        <w:t xml:space="preserve">kforce Committee </w:t>
      </w:r>
      <w:r w:rsidR="007465D3" w:rsidRPr="008542AF">
        <w:rPr>
          <w:rFonts w:asciiTheme="majorHAnsi" w:hAnsiTheme="majorHAnsi"/>
        </w:rPr>
        <w:t xml:space="preserve">is scheduled </w:t>
      </w:r>
      <w:r w:rsidR="00680B6D">
        <w:rPr>
          <w:rFonts w:asciiTheme="majorHAnsi" w:hAnsiTheme="majorHAnsi"/>
        </w:rPr>
        <w:t>for</w:t>
      </w:r>
      <w:r w:rsidR="007465D3" w:rsidRPr="008542AF">
        <w:rPr>
          <w:rFonts w:asciiTheme="majorHAnsi" w:hAnsiTheme="majorHAnsi"/>
        </w:rPr>
        <w:t xml:space="preserve"> Wednesday, April 29, 2015</w:t>
      </w:r>
      <w:r w:rsidR="00F776E7" w:rsidRPr="008542AF">
        <w:rPr>
          <w:rFonts w:asciiTheme="majorHAnsi" w:hAnsiTheme="majorHAnsi"/>
        </w:rPr>
        <w:t xml:space="preserve">.  </w:t>
      </w:r>
      <w:r w:rsidRPr="008542AF">
        <w:rPr>
          <w:rFonts w:asciiTheme="majorHAnsi" w:hAnsiTheme="majorHAnsi"/>
        </w:rPr>
        <w:t xml:space="preserve">We do expect bipartisan support for the bill when it is introduced.  </w:t>
      </w:r>
    </w:p>
    <w:p w:rsidR="003C1940" w:rsidRPr="008542AF" w:rsidRDefault="003C1940" w:rsidP="00587B0D">
      <w:pPr>
        <w:rPr>
          <w:rFonts w:asciiTheme="majorHAnsi" w:hAnsiTheme="majorHAnsi"/>
        </w:rPr>
      </w:pPr>
    </w:p>
    <w:p w:rsidR="003C1940" w:rsidRPr="008542AF" w:rsidRDefault="003C1940" w:rsidP="00587B0D">
      <w:pPr>
        <w:rPr>
          <w:rFonts w:asciiTheme="majorHAnsi" w:hAnsiTheme="majorHAnsi"/>
        </w:rPr>
      </w:pPr>
      <w:r w:rsidRPr="008542AF">
        <w:rPr>
          <w:rFonts w:asciiTheme="majorHAnsi" w:hAnsiTheme="majorHAnsi"/>
          <w:b/>
        </w:rPr>
        <w:t>Committees of Jurisdiction</w:t>
      </w:r>
      <w:r w:rsidRPr="008542AF">
        <w:rPr>
          <w:rFonts w:asciiTheme="majorHAnsi" w:hAnsiTheme="majorHAnsi"/>
        </w:rPr>
        <w:t xml:space="preserve">: </w:t>
      </w:r>
      <w:r w:rsidR="00484CAA">
        <w:rPr>
          <w:rFonts w:asciiTheme="majorHAnsi" w:hAnsiTheme="majorHAnsi"/>
        </w:rPr>
        <w:br/>
      </w:r>
      <w:bookmarkStart w:id="0" w:name="_GoBack"/>
      <w:bookmarkEnd w:id="0"/>
    </w:p>
    <w:p w:rsidR="003C1940" w:rsidRPr="008542AF" w:rsidRDefault="003C1940" w:rsidP="00587B0D">
      <w:pPr>
        <w:rPr>
          <w:rFonts w:asciiTheme="majorHAnsi" w:hAnsiTheme="majorHAnsi"/>
        </w:rPr>
      </w:pPr>
      <w:r w:rsidRPr="008542AF">
        <w:rPr>
          <w:rFonts w:asciiTheme="majorHAnsi" w:hAnsiTheme="majorHAnsi"/>
        </w:rPr>
        <w:t>Senate Finance</w:t>
      </w:r>
      <w:r w:rsidR="008542AF" w:rsidRPr="008542AF">
        <w:rPr>
          <w:rFonts w:asciiTheme="majorHAnsi" w:hAnsiTheme="majorHAnsi"/>
        </w:rPr>
        <w:t xml:space="preserve">; </w:t>
      </w:r>
      <w:r w:rsidRPr="008542AF">
        <w:rPr>
          <w:rFonts w:asciiTheme="majorHAnsi" w:hAnsiTheme="majorHAnsi"/>
        </w:rPr>
        <w:t>Senate Health, Education, Labor and Pensions (HELP)</w:t>
      </w:r>
      <w:r w:rsidR="008542AF" w:rsidRPr="008542AF">
        <w:rPr>
          <w:rFonts w:asciiTheme="majorHAnsi" w:hAnsiTheme="majorHAnsi"/>
        </w:rPr>
        <w:t xml:space="preserve">; </w:t>
      </w:r>
      <w:r w:rsidRPr="008542AF">
        <w:rPr>
          <w:rFonts w:asciiTheme="majorHAnsi" w:hAnsiTheme="majorHAnsi"/>
        </w:rPr>
        <w:t>House Education and Workforce</w:t>
      </w:r>
      <w:r w:rsidR="008542AF" w:rsidRPr="008542AF">
        <w:rPr>
          <w:rFonts w:asciiTheme="majorHAnsi" w:hAnsiTheme="majorHAnsi"/>
        </w:rPr>
        <w:t xml:space="preserve">; and </w:t>
      </w:r>
      <w:r w:rsidRPr="008542AF">
        <w:rPr>
          <w:rFonts w:asciiTheme="majorHAnsi" w:hAnsiTheme="majorHAnsi"/>
        </w:rPr>
        <w:t>House Ways &amp; Means</w:t>
      </w:r>
    </w:p>
    <w:p w:rsidR="00900A0E" w:rsidRPr="00587B0D" w:rsidRDefault="00900A0E" w:rsidP="00D41DEC">
      <w:pPr>
        <w:rPr>
          <w:rFonts w:asciiTheme="majorHAnsi" w:hAnsiTheme="majorHAnsi"/>
        </w:rPr>
      </w:pPr>
    </w:p>
    <w:sectPr w:rsidR="00900A0E" w:rsidRPr="00587B0D" w:rsidSect="00D3348F">
      <w:headerReference w:type="default" r:id="rId9"/>
      <w:footerReference w:type="default" r:id="rId10"/>
      <w:pgSz w:w="12240" w:h="15840"/>
      <w:pgMar w:top="2592" w:right="1152" w:bottom="1728" w:left="1152" w:header="446" w:footer="49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3A" w:rsidRDefault="0002153A">
      <w:r>
        <w:separator/>
      </w:r>
    </w:p>
  </w:endnote>
  <w:endnote w:type="continuationSeparator" w:id="0">
    <w:p w:rsidR="0002153A" w:rsidRDefault="0002153A">
      <w:r>
        <w:continuationSeparator/>
      </w:r>
    </w:p>
  </w:endnote>
  <w:endnote w:type="continuationNotice" w:id="1">
    <w:p w:rsidR="0002153A" w:rsidRDefault="00021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38" w:rsidRPr="00E15A65" w:rsidRDefault="00E15A65" w:rsidP="00E15A65">
    <w:pPr>
      <w:pStyle w:val="Footer"/>
    </w:pPr>
    <w:r>
      <w:rPr>
        <w:noProof/>
      </w:rPr>
      <w:drawing>
        <wp:inline distT="0" distB="0" distL="0" distR="0" wp14:anchorId="056E0DD7" wp14:editId="6A159465">
          <wp:extent cx="5943600" cy="1196975"/>
          <wp:effectExtent l="19050" t="0" r="0" b="0"/>
          <wp:docPr id="3" name="Picture 2" descr="2012_Footer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Footer_Image.jpg"/>
                  <pic:cNvPicPr/>
                </pic:nvPicPr>
                <pic:blipFill>
                  <a:blip r:embed="rId1"/>
                  <a:stretch>
                    <a:fillRect/>
                  </a:stretch>
                </pic:blipFill>
                <pic:spPr>
                  <a:xfrm>
                    <a:off x="0" y="0"/>
                    <a:ext cx="5943600" cy="11969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3A" w:rsidRDefault="0002153A">
      <w:r>
        <w:separator/>
      </w:r>
    </w:p>
  </w:footnote>
  <w:footnote w:type="continuationSeparator" w:id="0">
    <w:p w:rsidR="0002153A" w:rsidRDefault="0002153A">
      <w:r>
        <w:continuationSeparator/>
      </w:r>
    </w:p>
  </w:footnote>
  <w:footnote w:type="continuationNotice" w:id="1">
    <w:p w:rsidR="0002153A" w:rsidRDefault="000215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38" w:rsidRDefault="00F44BD5" w:rsidP="008343A1">
    <w:pPr>
      <w:pStyle w:val="Header"/>
      <w:tabs>
        <w:tab w:val="left" w:pos="10800"/>
      </w:tabs>
    </w:pPr>
    <w:r>
      <w:rPr>
        <w:noProof/>
      </w:rPr>
      <w:drawing>
        <wp:anchor distT="0" distB="0" distL="114300" distR="114300" simplePos="0" relativeHeight="251661824" behindDoc="0" locked="0" layoutInCell="1" allowOverlap="1" wp14:anchorId="05B4071A" wp14:editId="66813228">
          <wp:simplePos x="914400" y="285750"/>
          <wp:positionH relativeFrom="column">
            <wp:align>center</wp:align>
          </wp:positionH>
          <wp:positionV relativeFrom="paragraph">
            <wp:posOffset>0</wp:posOffset>
          </wp:positionV>
          <wp:extent cx="6705600" cy="1343025"/>
          <wp:effectExtent l="19050" t="0" r="0" b="0"/>
          <wp:wrapNone/>
          <wp:docPr id="1" name="Picture 1" descr="Description: qca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qca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0" cy="13430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5DC"/>
    <w:multiLevelType w:val="hybridMultilevel"/>
    <w:tmpl w:val="EDCC6F0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E7311"/>
    <w:multiLevelType w:val="hybridMultilevel"/>
    <w:tmpl w:val="2FD46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400834"/>
    <w:multiLevelType w:val="hybridMultilevel"/>
    <w:tmpl w:val="CF68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C4928"/>
    <w:multiLevelType w:val="hybridMultilevel"/>
    <w:tmpl w:val="EC6464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053607"/>
    <w:multiLevelType w:val="hybridMultilevel"/>
    <w:tmpl w:val="B246C1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FD3F1D"/>
    <w:multiLevelType w:val="hybridMultilevel"/>
    <w:tmpl w:val="913418E4"/>
    <w:lvl w:ilvl="0" w:tplc="6A8CEA98">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C4C03"/>
    <w:multiLevelType w:val="hybridMultilevel"/>
    <w:tmpl w:val="8E34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67B18"/>
    <w:multiLevelType w:val="hybridMultilevel"/>
    <w:tmpl w:val="1ACA13E0"/>
    <w:lvl w:ilvl="0" w:tplc="04090001">
      <w:numFmt w:val="bullet"/>
      <w:lvlText w:val=""/>
      <w:lvlJc w:val="left"/>
      <w:pPr>
        <w:ind w:left="720" w:hanging="360"/>
      </w:pPr>
      <w:rPr>
        <w:rFonts w:ascii="Symbol" w:eastAsia="Times New Roman" w:hAnsi="Symbol" w:cs="Times New Roman"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37EAF"/>
    <w:multiLevelType w:val="hybridMultilevel"/>
    <w:tmpl w:val="AF92EB14"/>
    <w:lvl w:ilvl="0" w:tplc="40B4B492">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76567"/>
    <w:multiLevelType w:val="hybridMultilevel"/>
    <w:tmpl w:val="7242EB0C"/>
    <w:lvl w:ilvl="0" w:tplc="D4DEEA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CB7FA5"/>
    <w:multiLevelType w:val="hybridMultilevel"/>
    <w:tmpl w:val="56B4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A101A"/>
    <w:multiLevelType w:val="hybridMultilevel"/>
    <w:tmpl w:val="F0E8A5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F778DC"/>
    <w:multiLevelType w:val="hybridMultilevel"/>
    <w:tmpl w:val="EACE7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306ECE"/>
    <w:multiLevelType w:val="hybridMultilevel"/>
    <w:tmpl w:val="DC80D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11899"/>
    <w:multiLevelType w:val="hybridMultilevel"/>
    <w:tmpl w:val="D9FE7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FA81860"/>
    <w:multiLevelType w:val="hybridMultilevel"/>
    <w:tmpl w:val="11B4861C"/>
    <w:lvl w:ilvl="0" w:tplc="40B4B492">
      <w:numFmt w:val="bullet"/>
      <w:lvlText w:val="•"/>
      <w:lvlJc w:val="left"/>
      <w:pPr>
        <w:ind w:left="1080" w:hanging="72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15"/>
  </w:num>
  <w:num w:numId="6">
    <w:abstractNumId w:val="8"/>
  </w:num>
  <w:num w:numId="7">
    <w:abstractNumId w:val="13"/>
  </w:num>
  <w:num w:numId="8">
    <w:abstractNumId w:val="9"/>
  </w:num>
  <w:num w:numId="9">
    <w:abstractNumId w:val="0"/>
  </w:num>
  <w:num w:numId="10">
    <w:abstractNumId w:val="12"/>
  </w:num>
  <w:num w:numId="11">
    <w:abstractNumId w:val="10"/>
  </w:num>
  <w:num w:numId="12">
    <w:abstractNumId w:val="14"/>
  </w:num>
  <w:num w:numId="13">
    <w:abstractNumId w:val="4"/>
  </w:num>
  <w:num w:numId="14">
    <w:abstractNumId w:val="7"/>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F0"/>
    <w:rsid w:val="0002153A"/>
    <w:rsid w:val="00044B77"/>
    <w:rsid w:val="00053433"/>
    <w:rsid w:val="0006042C"/>
    <w:rsid w:val="000649D2"/>
    <w:rsid w:val="000654E8"/>
    <w:rsid w:val="00085250"/>
    <w:rsid w:val="00086A2E"/>
    <w:rsid w:val="000C7178"/>
    <w:rsid w:val="000F1F8A"/>
    <w:rsid w:val="000F6624"/>
    <w:rsid w:val="00123B48"/>
    <w:rsid w:val="001403F0"/>
    <w:rsid w:val="00141F86"/>
    <w:rsid w:val="00193443"/>
    <w:rsid w:val="001A5D46"/>
    <w:rsid w:val="001A7E1B"/>
    <w:rsid w:val="001E05BB"/>
    <w:rsid w:val="001E5518"/>
    <w:rsid w:val="001F2826"/>
    <w:rsid w:val="00230082"/>
    <w:rsid w:val="00232C86"/>
    <w:rsid w:val="002722BB"/>
    <w:rsid w:val="00277AAB"/>
    <w:rsid w:val="002870CE"/>
    <w:rsid w:val="0029598E"/>
    <w:rsid w:val="002B6873"/>
    <w:rsid w:val="002B6F09"/>
    <w:rsid w:val="0031175A"/>
    <w:rsid w:val="00323E5B"/>
    <w:rsid w:val="0033223D"/>
    <w:rsid w:val="003433B4"/>
    <w:rsid w:val="00354418"/>
    <w:rsid w:val="00377AEF"/>
    <w:rsid w:val="003843A2"/>
    <w:rsid w:val="003C1940"/>
    <w:rsid w:val="00403776"/>
    <w:rsid w:val="00423BF4"/>
    <w:rsid w:val="00430614"/>
    <w:rsid w:val="0045206A"/>
    <w:rsid w:val="004650E2"/>
    <w:rsid w:val="00465962"/>
    <w:rsid w:val="00471DA8"/>
    <w:rsid w:val="00484CAA"/>
    <w:rsid w:val="00493F80"/>
    <w:rsid w:val="00496036"/>
    <w:rsid w:val="004961B9"/>
    <w:rsid w:val="004D4B1B"/>
    <w:rsid w:val="004E2233"/>
    <w:rsid w:val="004E4079"/>
    <w:rsid w:val="00505463"/>
    <w:rsid w:val="00523A13"/>
    <w:rsid w:val="0053340E"/>
    <w:rsid w:val="00555938"/>
    <w:rsid w:val="00566A6A"/>
    <w:rsid w:val="00587B0D"/>
    <w:rsid w:val="005B4FD2"/>
    <w:rsid w:val="005E302B"/>
    <w:rsid w:val="005F3FAB"/>
    <w:rsid w:val="005F7105"/>
    <w:rsid w:val="00614325"/>
    <w:rsid w:val="00645500"/>
    <w:rsid w:val="00645B3B"/>
    <w:rsid w:val="006466DC"/>
    <w:rsid w:val="00654045"/>
    <w:rsid w:val="0065497A"/>
    <w:rsid w:val="00655B22"/>
    <w:rsid w:val="00660D4E"/>
    <w:rsid w:val="00680B6D"/>
    <w:rsid w:val="006A75BE"/>
    <w:rsid w:val="007465D3"/>
    <w:rsid w:val="00763762"/>
    <w:rsid w:val="00777C80"/>
    <w:rsid w:val="00785B2A"/>
    <w:rsid w:val="007A5F01"/>
    <w:rsid w:val="007C6EC0"/>
    <w:rsid w:val="007D5373"/>
    <w:rsid w:val="007E1587"/>
    <w:rsid w:val="007E56C8"/>
    <w:rsid w:val="00804C79"/>
    <w:rsid w:val="00823389"/>
    <w:rsid w:val="0082405B"/>
    <w:rsid w:val="008343A1"/>
    <w:rsid w:val="00850850"/>
    <w:rsid w:val="0085410A"/>
    <w:rsid w:val="008542AF"/>
    <w:rsid w:val="00865137"/>
    <w:rsid w:val="008659E3"/>
    <w:rsid w:val="008A7590"/>
    <w:rsid w:val="008B6515"/>
    <w:rsid w:val="008E5E3A"/>
    <w:rsid w:val="008F0218"/>
    <w:rsid w:val="008F0B7A"/>
    <w:rsid w:val="00900A0E"/>
    <w:rsid w:val="0090272D"/>
    <w:rsid w:val="00912700"/>
    <w:rsid w:val="00914269"/>
    <w:rsid w:val="0092083D"/>
    <w:rsid w:val="00923976"/>
    <w:rsid w:val="00930350"/>
    <w:rsid w:val="00936B88"/>
    <w:rsid w:val="00936CFA"/>
    <w:rsid w:val="00950D31"/>
    <w:rsid w:val="00961D9A"/>
    <w:rsid w:val="009667FC"/>
    <w:rsid w:val="00970D98"/>
    <w:rsid w:val="00982821"/>
    <w:rsid w:val="009A0A19"/>
    <w:rsid w:val="009A1164"/>
    <w:rsid w:val="009B3D8C"/>
    <w:rsid w:val="00A076DE"/>
    <w:rsid w:val="00A23546"/>
    <w:rsid w:val="00A34E41"/>
    <w:rsid w:val="00A363FB"/>
    <w:rsid w:val="00A416CF"/>
    <w:rsid w:val="00A44E17"/>
    <w:rsid w:val="00A769EB"/>
    <w:rsid w:val="00AA3457"/>
    <w:rsid w:val="00AB4712"/>
    <w:rsid w:val="00AC263C"/>
    <w:rsid w:val="00AD6DB5"/>
    <w:rsid w:val="00AE470A"/>
    <w:rsid w:val="00AF098E"/>
    <w:rsid w:val="00B02FC6"/>
    <w:rsid w:val="00B167A6"/>
    <w:rsid w:val="00B203C6"/>
    <w:rsid w:val="00B26723"/>
    <w:rsid w:val="00B33026"/>
    <w:rsid w:val="00B3548F"/>
    <w:rsid w:val="00B3615B"/>
    <w:rsid w:val="00B519D0"/>
    <w:rsid w:val="00B56C10"/>
    <w:rsid w:val="00B91C95"/>
    <w:rsid w:val="00BA0992"/>
    <w:rsid w:val="00BD48FD"/>
    <w:rsid w:val="00BD683C"/>
    <w:rsid w:val="00BE213A"/>
    <w:rsid w:val="00C21455"/>
    <w:rsid w:val="00C66023"/>
    <w:rsid w:val="00C76974"/>
    <w:rsid w:val="00CA7865"/>
    <w:rsid w:val="00CB20D9"/>
    <w:rsid w:val="00CC156A"/>
    <w:rsid w:val="00CF6F84"/>
    <w:rsid w:val="00D0010D"/>
    <w:rsid w:val="00D0185F"/>
    <w:rsid w:val="00D04C7C"/>
    <w:rsid w:val="00D054C3"/>
    <w:rsid w:val="00D07490"/>
    <w:rsid w:val="00D20203"/>
    <w:rsid w:val="00D27C09"/>
    <w:rsid w:val="00D3348F"/>
    <w:rsid w:val="00D34AA1"/>
    <w:rsid w:val="00D3775B"/>
    <w:rsid w:val="00D41DEC"/>
    <w:rsid w:val="00D44058"/>
    <w:rsid w:val="00D547FB"/>
    <w:rsid w:val="00D575A7"/>
    <w:rsid w:val="00D67E3D"/>
    <w:rsid w:val="00D76666"/>
    <w:rsid w:val="00D90D5B"/>
    <w:rsid w:val="00DA3C09"/>
    <w:rsid w:val="00DA7ACC"/>
    <w:rsid w:val="00DB0E21"/>
    <w:rsid w:val="00DE1BA7"/>
    <w:rsid w:val="00DF439C"/>
    <w:rsid w:val="00E15A65"/>
    <w:rsid w:val="00E323BF"/>
    <w:rsid w:val="00E73554"/>
    <w:rsid w:val="00E808CF"/>
    <w:rsid w:val="00E95328"/>
    <w:rsid w:val="00EA3CC7"/>
    <w:rsid w:val="00EC073B"/>
    <w:rsid w:val="00F015DD"/>
    <w:rsid w:val="00F44BD5"/>
    <w:rsid w:val="00F6086B"/>
    <w:rsid w:val="00F65938"/>
    <w:rsid w:val="00F73BBB"/>
    <w:rsid w:val="00F776E7"/>
    <w:rsid w:val="00FB6753"/>
    <w:rsid w:val="00FC7153"/>
    <w:rsid w:val="00FD7358"/>
    <w:rsid w:val="00FE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DA8"/>
    <w:pPr>
      <w:tabs>
        <w:tab w:val="center" w:pos="4320"/>
        <w:tab w:val="right" w:pos="8640"/>
      </w:tabs>
    </w:pPr>
  </w:style>
  <w:style w:type="character" w:customStyle="1" w:styleId="HeaderChar">
    <w:name w:val="Header Char"/>
    <w:basedOn w:val="DefaultParagraphFont"/>
    <w:link w:val="Header"/>
    <w:uiPriority w:val="99"/>
    <w:rsid w:val="00471DA8"/>
  </w:style>
  <w:style w:type="paragraph" w:styleId="Footer">
    <w:name w:val="footer"/>
    <w:basedOn w:val="Normal"/>
    <w:link w:val="FooterChar"/>
    <w:uiPriority w:val="99"/>
    <w:unhideWhenUsed/>
    <w:rsid w:val="00471DA8"/>
    <w:pPr>
      <w:tabs>
        <w:tab w:val="center" w:pos="4320"/>
        <w:tab w:val="right" w:pos="8640"/>
      </w:tabs>
    </w:pPr>
  </w:style>
  <w:style w:type="character" w:customStyle="1" w:styleId="FooterChar">
    <w:name w:val="Footer Char"/>
    <w:basedOn w:val="DefaultParagraphFont"/>
    <w:link w:val="Footer"/>
    <w:uiPriority w:val="99"/>
    <w:rsid w:val="00471DA8"/>
  </w:style>
  <w:style w:type="paragraph" w:styleId="BalloonText">
    <w:name w:val="Balloon Text"/>
    <w:basedOn w:val="Normal"/>
    <w:link w:val="BalloonTextChar"/>
    <w:uiPriority w:val="99"/>
    <w:semiHidden/>
    <w:unhideWhenUsed/>
    <w:rsid w:val="00D0010D"/>
    <w:rPr>
      <w:rFonts w:ascii="Tahoma" w:hAnsi="Tahoma" w:cs="Tahoma"/>
      <w:sz w:val="16"/>
      <w:szCs w:val="16"/>
    </w:rPr>
  </w:style>
  <w:style w:type="character" w:customStyle="1" w:styleId="BalloonTextChar">
    <w:name w:val="Balloon Text Char"/>
    <w:link w:val="BalloonText"/>
    <w:uiPriority w:val="99"/>
    <w:semiHidden/>
    <w:rsid w:val="00D0010D"/>
    <w:rPr>
      <w:rFonts w:ascii="Tahoma" w:hAnsi="Tahoma" w:cs="Tahoma"/>
      <w:sz w:val="16"/>
      <w:szCs w:val="16"/>
    </w:rPr>
  </w:style>
  <w:style w:type="paragraph" w:styleId="NoSpacing">
    <w:name w:val="No Spacing"/>
    <w:qFormat/>
    <w:rsid w:val="00AD6DB5"/>
    <w:rPr>
      <w:rFonts w:eastAsia="MS Minngs"/>
      <w:sz w:val="22"/>
      <w:szCs w:val="22"/>
    </w:rPr>
  </w:style>
  <w:style w:type="paragraph" w:styleId="BodyText">
    <w:name w:val="Body Text"/>
    <w:basedOn w:val="Normal"/>
    <w:rsid w:val="00A23546"/>
    <w:rPr>
      <w:rFonts w:ascii="Times New Roman" w:eastAsia="Times New Roman" w:hAnsi="Times New Roman"/>
      <w:i/>
      <w:iCs/>
      <w:color w:val="000000"/>
      <w:sz w:val="20"/>
      <w:szCs w:val="20"/>
    </w:rPr>
  </w:style>
  <w:style w:type="table" w:styleId="TableGrid">
    <w:name w:val="Table Grid"/>
    <w:basedOn w:val="TableNormal"/>
    <w:rsid w:val="00B1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aThompson">
    <w:name w:val="Dana Thompson"/>
    <w:semiHidden/>
    <w:rsid w:val="006466DC"/>
    <w:rPr>
      <w:rFonts w:ascii="Arial" w:hAnsi="Arial" w:cs="Arial"/>
      <w:color w:val="000080"/>
      <w:sz w:val="20"/>
      <w:szCs w:val="20"/>
    </w:rPr>
  </w:style>
  <w:style w:type="character" w:styleId="Hyperlink">
    <w:name w:val="Hyperlink"/>
    <w:uiPriority w:val="99"/>
    <w:unhideWhenUsed/>
    <w:rsid w:val="00CF6F84"/>
    <w:rPr>
      <w:color w:val="0000FF"/>
      <w:u w:val="single"/>
    </w:rPr>
  </w:style>
  <w:style w:type="paragraph" w:styleId="BodyTextIndent2">
    <w:name w:val="Body Text Indent 2"/>
    <w:basedOn w:val="Normal"/>
    <w:link w:val="BodyTextIndent2Char"/>
    <w:uiPriority w:val="99"/>
    <w:unhideWhenUsed/>
    <w:rsid w:val="00F44BD5"/>
    <w:pPr>
      <w:spacing w:after="120" w:line="480" w:lineRule="auto"/>
      <w:ind w:left="360"/>
    </w:pPr>
  </w:style>
  <w:style w:type="character" w:customStyle="1" w:styleId="BodyTextIndent2Char">
    <w:name w:val="Body Text Indent 2 Char"/>
    <w:basedOn w:val="DefaultParagraphFont"/>
    <w:link w:val="BodyTextIndent2"/>
    <w:uiPriority w:val="99"/>
    <w:rsid w:val="00F44BD5"/>
    <w:rPr>
      <w:sz w:val="24"/>
      <w:szCs w:val="24"/>
    </w:rPr>
  </w:style>
  <w:style w:type="paragraph" w:styleId="ListParagraph">
    <w:name w:val="List Paragraph"/>
    <w:basedOn w:val="Normal"/>
    <w:uiPriority w:val="34"/>
    <w:qFormat/>
    <w:rsid w:val="00F44BD5"/>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02153A"/>
    <w:rPr>
      <w:sz w:val="16"/>
      <w:szCs w:val="16"/>
    </w:rPr>
  </w:style>
  <w:style w:type="paragraph" w:styleId="CommentText">
    <w:name w:val="annotation text"/>
    <w:basedOn w:val="Normal"/>
    <w:link w:val="CommentTextChar"/>
    <w:uiPriority w:val="99"/>
    <w:semiHidden/>
    <w:unhideWhenUsed/>
    <w:rsid w:val="0002153A"/>
    <w:rPr>
      <w:sz w:val="20"/>
      <w:szCs w:val="20"/>
    </w:rPr>
  </w:style>
  <w:style w:type="character" w:customStyle="1" w:styleId="CommentTextChar">
    <w:name w:val="Comment Text Char"/>
    <w:basedOn w:val="DefaultParagraphFont"/>
    <w:link w:val="CommentText"/>
    <w:uiPriority w:val="99"/>
    <w:semiHidden/>
    <w:rsid w:val="0002153A"/>
  </w:style>
  <w:style w:type="paragraph" w:styleId="CommentSubject">
    <w:name w:val="annotation subject"/>
    <w:basedOn w:val="CommentText"/>
    <w:next w:val="CommentText"/>
    <w:link w:val="CommentSubjectChar"/>
    <w:uiPriority w:val="99"/>
    <w:semiHidden/>
    <w:unhideWhenUsed/>
    <w:rsid w:val="0002153A"/>
    <w:rPr>
      <w:b/>
      <w:bCs/>
    </w:rPr>
  </w:style>
  <w:style w:type="character" w:customStyle="1" w:styleId="CommentSubjectChar">
    <w:name w:val="Comment Subject Char"/>
    <w:basedOn w:val="CommentTextChar"/>
    <w:link w:val="CommentSubject"/>
    <w:uiPriority w:val="99"/>
    <w:semiHidden/>
    <w:rsid w:val="0002153A"/>
    <w:rPr>
      <w:b/>
      <w:bCs/>
    </w:rPr>
  </w:style>
  <w:style w:type="paragraph" w:styleId="Revision">
    <w:name w:val="Revision"/>
    <w:hidden/>
    <w:uiPriority w:val="99"/>
    <w:semiHidden/>
    <w:rsid w:val="000215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DA8"/>
    <w:pPr>
      <w:tabs>
        <w:tab w:val="center" w:pos="4320"/>
        <w:tab w:val="right" w:pos="8640"/>
      </w:tabs>
    </w:pPr>
  </w:style>
  <w:style w:type="character" w:customStyle="1" w:styleId="HeaderChar">
    <w:name w:val="Header Char"/>
    <w:basedOn w:val="DefaultParagraphFont"/>
    <w:link w:val="Header"/>
    <w:uiPriority w:val="99"/>
    <w:rsid w:val="00471DA8"/>
  </w:style>
  <w:style w:type="paragraph" w:styleId="Footer">
    <w:name w:val="footer"/>
    <w:basedOn w:val="Normal"/>
    <w:link w:val="FooterChar"/>
    <w:uiPriority w:val="99"/>
    <w:unhideWhenUsed/>
    <w:rsid w:val="00471DA8"/>
    <w:pPr>
      <w:tabs>
        <w:tab w:val="center" w:pos="4320"/>
        <w:tab w:val="right" w:pos="8640"/>
      </w:tabs>
    </w:pPr>
  </w:style>
  <w:style w:type="character" w:customStyle="1" w:styleId="FooterChar">
    <w:name w:val="Footer Char"/>
    <w:basedOn w:val="DefaultParagraphFont"/>
    <w:link w:val="Footer"/>
    <w:uiPriority w:val="99"/>
    <w:rsid w:val="00471DA8"/>
  </w:style>
  <w:style w:type="paragraph" w:styleId="BalloonText">
    <w:name w:val="Balloon Text"/>
    <w:basedOn w:val="Normal"/>
    <w:link w:val="BalloonTextChar"/>
    <w:uiPriority w:val="99"/>
    <w:semiHidden/>
    <w:unhideWhenUsed/>
    <w:rsid w:val="00D0010D"/>
    <w:rPr>
      <w:rFonts w:ascii="Tahoma" w:hAnsi="Tahoma" w:cs="Tahoma"/>
      <w:sz w:val="16"/>
      <w:szCs w:val="16"/>
    </w:rPr>
  </w:style>
  <w:style w:type="character" w:customStyle="1" w:styleId="BalloonTextChar">
    <w:name w:val="Balloon Text Char"/>
    <w:link w:val="BalloonText"/>
    <w:uiPriority w:val="99"/>
    <w:semiHidden/>
    <w:rsid w:val="00D0010D"/>
    <w:rPr>
      <w:rFonts w:ascii="Tahoma" w:hAnsi="Tahoma" w:cs="Tahoma"/>
      <w:sz w:val="16"/>
      <w:szCs w:val="16"/>
    </w:rPr>
  </w:style>
  <w:style w:type="paragraph" w:styleId="NoSpacing">
    <w:name w:val="No Spacing"/>
    <w:qFormat/>
    <w:rsid w:val="00AD6DB5"/>
    <w:rPr>
      <w:rFonts w:eastAsia="MS Minngs"/>
      <w:sz w:val="22"/>
      <w:szCs w:val="22"/>
    </w:rPr>
  </w:style>
  <w:style w:type="paragraph" w:styleId="BodyText">
    <w:name w:val="Body Text"/>
    <w:basedOn w:val="Normal"/>
    <w:rsid w:val="00A23546"/>
    <w:rPr>
      <w:rFonts w:ascii="Times New Roman" w:eastAsia="Times New Roman" w:hAnsi="Times New Roman"/>
      <w:i/>
      <w:iCs/>
      <w:color w:val="000000"/>
      <w:sz w:val="20"/>
      <w:szCs w:val="20"/>
    </w:rPr>
  </w:style>
  <w:style w:type="table" w:styleId="TableGrid">
    <w:name w:val="Table Grid"/>
    <w:basedOn w:val="TableNormal"/>
    <w:rsid w:val="00B1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aThompson">
    <w:name w:val="Dana Thompson"/>
    <w:semiHidden/>
    <w:rsid w:val="006466DC"/>
    <w:rPr>
      <w:rFonts w:ascii="Arial" w:hAnsi="Arial" w:cs="Arial"/>
      <w:color w:val="000080"/>
      <w:sz w:val="20"/>
      <w:szCs w:val="20"/>
    </w:rPr>
  </w:style>
  <w:style w:type="character" w:styleId="Hyperlink">
    <w:name w:val="Hyperlink"/>
    <w:uiPriority w:val="99"/>
    <w:unhideWhenUsed/>
    <w:rsid w:val="00CF6F84"/>
    <w:rPr>
      <w:color w:val="0000FF"/>
      <w:u w:val="single"/>
    </w:rPr>
  </w:style>
  <w:style w:type="paragraph" w:styleId="BodyTextIndent2">
    <w:name w:val="Body Text Indent 2"/>
    <w:basedOn w:val="Normal"/>
    <w:link w:val="BodyTextIndent2Char"/>
    <w:uiPriority w:val="99"/>
    <w:unhideWhenUsed/>
    <w:rsid w:val="00F44BD5"/>
    <w:pPr>
      <w:spacing w:after="120" w:line="480" w:lineRule="auto"/>
      <w:ind w:left="360"/>
    </w:pPr>
  </w:style>
  <w:style w:type="character" w:customStyle="1" w:styleId="BodyTextIndent2Char">
    <w:name w:val="Body Text Indent 2 Char"/>
    <w:basedOn w:val="DefaultParagraphFont"/>
    <w:link w:val="BodyTextIndent2"/>
    <w:uiPriority w:val="99"/>
    <w:rsid w:val="00F44BD5"/>
    <w:rPr>
      <w:sz w:val="24"/>
      <w:szCs w:val="24"/>
    </w:rPr>
  </w:style>
  <w:style w:type="paragraph" w:styleId="ListParagraph">
    <w:name w:val="List Paragraph"/>
    <w:basedOn w:val="Normal"/>
    <w:uiPriority w:val="34"/>
    <w:qFormat/>
    <w:rsid w:val="00F44BD5"/>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02153A"/>
    <w:rPr>
      <w:sz w:val="16"/>
      <w:szCs w:val="16"/>
    </w:rPr>
  </w:style>
  <w:style w:type="paragraph" w:styleId="CommentText">
    <w:name w:val="annotation text"/>
    <w:basedOn w:val="Normal"/>
    <w:link w:val="CommentTextChar"/>
    <w:uiPriority w:val="99"/>
    <w:semiHidden/>
    <w:unhideWhenUsed/>
    <w:rsid w:val="0002153A"/>
    <w:rPr>
      <w:sz w:val="20"/>
      <w:szCs w:val="20"/>
    </w:rPr>
  </w:style>
  <w:style w:type="character" w:customStyle="1" w:styleId="CommentTextChar">
    <w:name w:val="Comment Text Char"/>
    <w:basedOn w:val="DefaultParagraphFont"/>
    <w:link w:val="CommentText"/>
    <w:uiPriority w:val="99"/>
    <w:semiHidden/>
    <w:rsid w:val="0002153A"/>
  </w:style>
  <w:style w:type="paragraph" w:styleId="CommentSubject">
    <w:name w:val="annotation subject"/>
    <w:basedOn w:val="CommentText"/>
    <w:next w:val="CommentText"/>
    <w:link w:val="CommentSubjectChar"/>
    <w:uiPriority w:val="99"/>
    <w:semiHidden/>
    <w:unhideWhenUsed/>
    <w:rsid w:val="0002153A"/>
    <w:rPr>
      <w:b/>
      <w:bCs/>
    </w:rPr>
  </w:style>
  <w:style w:type="character" w:customStyle="1" w:styleId="CommentSubjectChar">
    <w:name w:val="Comment Subject Char"/>
    <w:basedOn w:val="CommentTextChar"/>
    <w:link w:val="CommentSubject"/>
    <w:uiPriority w:val="99"/>
    <w:semiHidden/>
    <w:rsid w:val="0002153A"/>
    <w:rPr>
      <w:b/>
      <w:bCs/>
    </w:rPr>
  </w:style>
  <w:style w:type="paragraph" w:styleId="Revision">
    <w:name w:val="Revision"/>
    <w:hidden/>
    <w:uiPriority w:val="99"/>
    <w:semiHidden/>
    <w:rsid w:val="000215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pifel\Local%20Settings\Temporary%20Internet%20Files\OLKF9\QCA_Letterhead_Template_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4CDCF-35B7-4458-A379-258A7DE1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QCA_Letterhead_Template_2011</Template>
  <TotalTime>16</TotalTime>
  <Pages>4</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Quality Construction Alliance National Issues Conference</vt:lpstr>
    </vt:vector>
  </TitlesOfParts>
  <Company>Pixels &amp; Ink</Company>
  <LinksUpToDate>false</LinksUpToDate>
  <CharactersWithSpaces>5964</CharactersWithSpaces>
  <SharedDoc>false</SharedDoc>
  <HLinks>
    <vt:vector size="24" baseType="variant">
      <vt:variant>
        <vt:i4>2359351</vt:i4>
      </vt:variant>
      <vt:variant>
        <vt:i4>9</vt:i4>
      </vt:variant>
      <vt:variant>
        <vt:i4>0</vt:i4>
      </vt:variant>
      <vt:variant>
        <vt:i4>5</vt:i4>
      </vt:variant>
      <vt:variant>
        <vt:lpwstr>http://www.smacna.org/</vt:lpwstr>
      </vt:variant>
      <vt:variant>
        <vt:lpwstr/>
      </vt:variant>
      <vt:variant>
        <vt:i4>5505114</vt:i4>
      </vt:variant>
      <vt:variant>
        <vt:i4>6</vt:i4>
      </vt:variant>
      <vt:variant>
        <vt:i4>0</vt:i4>
      </vt:variant>
      <vt:variant>
        <vt:i4>5</vt:i4>
      </vt:variant>
      <vt:variant>
        <vt:lpwstr>http://www.mcaa.org/</vt:lpwstr>
      </vt:variant>
      <vt:variant>
        <vt:lpwstr/>
      </vt:variant>
      <vt:variant>
        <vt:i4>3473466</vt:i4>
      </vt:variant>
      <vt:variant>
        <vt:i4>3</vt:i4>
      </vt:variant>
      <vt:variant>
        <vt:i4>0</vt:i4>
      </vt:variant>
      <vt:variant>
        <vt:i4>5</vt:i4>
      </vt:variant>
      <vt:variant>
        <vt:lpwstr>http://www.icebac.org/</vt:lpwstr>
      </vt:variant>
      <vt:variant>
        <vt:lpwstr/>
      </vt:variant>
      <vt:variant>
        <vt:i4>5308510</vt:i4>
      </vt:variant>
      <vt:variant>
        <vt:i4>0</vt:i4>
      </vt:variant>
      <vt:variant>
        <vt:i4>0</vt:i4>
      </vt:variant>
      <vt:variant>
        <vt:i4>5</vt:i4>
      </vt:variant>
      <vt:variant>
        <vt:lpwstr>http://www.finishingcontractors.org/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Construction Alliance National Issues Conference</dc:title>
  <dc:creator>Belen Pifel</dc:creator>
  <cp:lastModifiedBy>Todd Mustard</cp:lastModifiedBy>
  <cp:revision>5</cp:revision>
  <cp:lastPrinted>2015-04-06T23:25:00Z</cp:lastPrinted>
  <dcterms:created xsi:type="dcterms:W3CDTF">2015-04-22T13:57:00Z</dcterms:created>
  <dcterms:modified xsi:type="dcterms:W3CDTF">2015-04-22T17:51:00Z</dcterms:modified>
</cp:coreProperties>
</file>